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spacing w:line="480" w:lineRule="auto"/>
        <w:jc w:val="center"/>
      </w:pPr>
      <w:r>
        <w:rPr>
          <w:rFonts w:ascii="Times New Roman" w:hAnsi="Times New Roman"/>
          <w:b/>
          <w:sz w:val="24"/>
        </w:rPr>
        <w:t>MUSA Security Awareness Program Proposal</w:t>
      </w:r>
    </w:p>
    <w:p>
      <w:pPr>
        <w:spacing w:line="480" w:lineRule="auto"/>
        <w:jc w:val="center"/>
      </w:pPr>
      <w:r>
        <w:rPr>
          <w:rFonts w:ascii="Times New Roman" w:hAnsi="Times New Roman"/>
          <w:b w:val="0"/>
          <w:sz w:val="24"/>
        </w:rPr>
        <w:t>Marjean Mayo-Baker</w:t>
      </w:r>
    </w:p>
    <w:p>
      <w:pPr>
        <w:spacing w:line="480" w:lineRule="auto"/>
        <w:jc w:val="center"/>
      </w:pPr>
      <w:r>
        <w:rPr>
          <w:rFonts w:ascii="Times New Roman" w:hAnsi="Times New Roman"/>
          <w:b w:val="0"/>
          <w:sz w:val="24"/>
        </w:rPr>
        <w:t>Southern New Hampshire University</w:t>
      </w:r>
    </w:p>
    <w:p>
      <w:pPr>
        <w:spacing w:line="480" w:lineRule="auto"/>
        <w:jc w:val="center"/>
      </w:pPr>
      <w:r>
        <w:rPr>
          <w:rFonts w:ascii="Times New Roman" w:hAnsi="Times New Roman"/>
          <w:b w:val="0"/>
          <w:sz w:val="24"/>
        </w:rPr>
        <w:t>IT-552: Human Factors in Security</w:t>
      </w:r>
    </w:p>
    <w:p>
      <w:pPr>
        <w:spacing w:line="480" w:lineRule="auto"/>
        <w:jc w:val="center"/>
      </w:pPr>
      <w:r>
        <w:rPr>
          <w:rFonts w:ascii="Times New Roman" w:hAnsi="Times New Roman"/>
          <w:b w:val="0"/>
          <w:sz w:val="24"/>
        </w:rPr>
        <w:t>Earl Campbell</w:t>
      </w:r>
    </w:p>
    <w:p>
      <w:pPr>
        <w:spacing w:line="480" w:lineRule="auto"/>
        <w:jc w:val="center"/>
      </w:pPr>
      <w:r>
        <w:rPr>
          <w:rFonts w:ascii="Times New Roman" w:hAnsi="Times New Roman"/>
          <w:b w:val="0"/>
          <w:sz w:val="24"/>
        </w:rPr>
        <w:t>September 7, 2026</w:t>
      </w:r>
    </w:p>
    <w:p>
      <w:r>
        <w:br w:type="page"/>
      </w:r>
    </w:p>
    <w:p>
      <w:pPr>
        <w:pStyle w:val="Heading1"/>
        <w:jc w:val="left"/>
      </w:pPr>
      <w:r>
        <w:rPr>
          <w:rFonts w:ascii="Times New Roman" w:hAnsi="Times New Roman"/>
          <w:b/>
          <w:sz w:val="24"/>
        </w:rPr>
        <w:t>Introduction</w:t>
      </w:r>
    </w:p>
    <w:p>
      <w:pPr>
        <w:pStyle w:val="Heading2"/>
        <w:jc w:val="left"/>
      </w:pPr>
      <w:r>
        <w:rPr>
          <w:rFonts w:ascii="Times New Roman" w:hAnsi="Times New Roman"/>
          <w:b/>
          <w:sz w:val="24"/>
        </w:rPr>
        <w:t>Purpose of the Security Awareness Program</w:t>
      </w:r>
    </w:p>
    <w:p>
      <w:pPr>
        <w:ind w:firstLine="720"/>
        <w:jc w:val="left"/>
      </w:pPr>
      <w:r>
        <w:rPr>
          <w:rFonts w:ascii="Times New Roman" w:hAnsi="Times New Roman" w:eastAsia="Times New Roman"/>
          <w:sz w:val="24"/>
        </w:rPr>
        <w:t>As the chief information security officer for MUSA, my first task is to develop a robust and in-depth security awareness program. At this time, we are seeing a significant number of phishing and social engineering losses tied to the absence of annual training, and no clear separation of duties, which is resulting in theft reports. My goal is to create a program that addresses security policy development, continuous monitoring, employee readiness, and communication. The components of this proposal come directly from the assessment findings instead of assumptions about what may be happening inside the organization.</w:t>
      </w:r>
    </w:p>
    <w:p>
      <w:pPr>
        <w:ind w:firstLine="720"/>
        <w:jc w:val="left"/>
      </w:pPr>
      <w:r>
        <w:rPr>
          <w:rFonts w:ascii="Times New Roman" w:hAnsi="Times New Roman" w:eastAsia="Times New Roman"/>
          <w:sz w:val="24"/>
        </w:rPr>
        <w:t>This program is vital because MUSA is already dealing with the consequences of a weak security posture. Successful phishing and social engineering attacks, theft reports, limited monitoring, no configuration change management, and weak data controls are not separate problems. They feed into one another. If employees are not trained, the systems are not being monitored, and there is no consistent process for changes or access, the organization is operating in a reactive state. The purpose of this proposal is to move MUSA away from that state and toward a security program that can prevent, identify, and respond to risk before the same problems continue to repeat (National Institute of Standards and Technology [NIST], 2024).</w:t>
      </w:r>
    </w:p>
    <w:p>
      <w:pPr>
        <w:pStyle w:val="Heading2"/>
        <w:jc w:val="left"/>
      </w:pPr>
      <w:r>
        <w:rPr>
          <w:rFonts w:ascii="Times New Roman" w:hAnsi="Times New Roman"/>
          <w:b/>
          <w:sz w:val="24"/>
        </w:rPr>
        <w:t>Current Security Posture</w:t>
      </w:r>
    </w:p>
    <w:p>
      <w:pPr>
        <w:ind w:firstLine="720"/>
        <w:jc w:val="left"/>
      </w:pPr>
      <w:r>
        <w:rPr>
          <w:rFonts w:ascii="Times New Roman" w:hAnsi="Times New Roman" w:eastAsia="Times New Roman"/>
          <w:sz w:val="24"/>
        </w:rPr>
        <w:t>As of the day of writing this proposal, MUSA's security posture is inadequate and requires immediate mitigation. This assessment identified four major findings: gaps in detection and visibility, an excessive interval between vulnerability assessments, insufficient data protection and flow control, and a configuration change management gap that can lead to patch mismatches.</w:t>
      </w:r>
    </w:p>
    <w:p>
      <w:pPr>
        <w:ind w:firstLine="720"/>
        <w:jc w:val="left"/>
      </w:pPr>
      <w:r>
        <w:rPr>
          <w:rFonts w:ascii="Times New Roman" w:hAnsi="Times New Roman" w:eastAsia="Times New Roman"/>
          <w:sz w:val="24"/>
        </w:rPr>
        <w:t>After a full network enterprise review, several detection and visibility gaps were identified. These include no intrusion detection or prevention systems connected to endpoints and edge hosts, no centralized syslog capability, and no consistent collection or analysis of logs. As a result, attacks can go unseen and unmonitored, and MUSA has very little evidence to reconstruct what happened after an incident (National Institute of Standards and Technology, 2006; NIST, 2007).</w:t>
      </w:r>
    </w:p>
    <w:p>
      <w:pPr>
        <w:ind w:firstLine="720"/>
        <w:jc w:val="left"/>
      </w:pPr>
      <w:r>
        <w:rPr>
          <w:rFonts w:ascii="Times New Roman" w:hAnsi="Times New Roman" w:eastAsia="Times New Roman"/>
          <w:sz w:val="24"/>
        </w:rPr>
        <w:t>The last known vulnerability assessment occurred three years ago, and the established trend is an assessment every three years. Given how quickly technology, vulnerabilities, and configurations change, that cadence produces posture claims that become stale. It also cannot track drift because there are no recent comparisons. Vulnerability assessment has to be frequent enough to identify changes while they can still be acted on (Ross, 2012).</w:t>
      </w:r>
    </w:p>
    <w:p>
      <w:pPr>
        <w:ind w:firstLine="720"/>
        <w:jc w:val="left"/>
      </w:pPr>
      <w:r>
        <w:rPr>
          <w:rFonts w:ascii="Times New Roman" w:hAnsi="Times New Roman" w:eastAsia="Times New Roman"/>
          <w:sz w:val="24"/>
        </w:rPr>
        <w:t>There is also no consistent encryption or hashing to validate confidentiality and file integrity, no media access control, and data is moving without enough direction or accountability. Finally, the absence of change control leaves unintentional threats unmanaged. Leaving a patch out of an update, pushing the wrong patch, or making a change without testing can create an attack surface larger than the one the change was intended to close (Center for Internet Security [CIS], 2024; NIST, 2020).</w:t>
      </w:r>
    </w:p>
    <w:p>
      <w:pPr>
        <w:pStyle w:val="Heading2"/>
        <w:jc w:val="left"/>
      </w:pPr>
      <w:r>
        <w:rPr>
          <w:rFonts w:ascii="Times New Roman" w:hAnsi="Times New Roman"/>
          <w:b/>
          <w:sz w:val="24"/>
        </w:rPr>
        <w:t>Human Factors Affecting Security</w:t>
      </w:r>
    </w:p>
    <w:p>
      <w:pPr>
        <w:ind w:firstLine="720"/>
        <w:jc w:val="left"/>
      </w:pPr>
      <w:r>
        <w:rPr>
          <w:rFonts w:ascii="Times New Roman" w:hAnsi="Times New Roman" w:eastAsia="Times New Roman"/>
          <w:sz w:val="24"/>
        </w:rPr>
        <w:t>Because MUSA provides no annual cybersecurity awareness training, employees lack a basic and repeated security baseline. Phishing attempts and social engineering have already been successful, leading to security incidents and recovery work that affect availability, integrity, business operations, and customer trust (NIST, 2024).</w:t>
      </w:r>
    </w:p>
    <w:p>
      <w:pPr>
        <w:ind w:firstLine="720"/>
        <w:jc w:val="left"/>
      </w:pPr>
      <w:r>
        <w:rPr>
          <w:rFonts w:ascii="Times New Roman" w:hAnsi="Times New Roman" w:eastAsia="Times New Roman"/>
          <w:sz w:val="24"/>
        </w:rPr>
        <w:t>MUSA's lack of employee readiness programs and work planning strategy has also produced high attrition and low morale. Those conditions do not mean that an employee will become malicious, but they do create room for disengagement, mistakes, policy violations, and insider risk to go unnoticed. The high number of theft reports and security incidents shows that intentional threats also have to be treated as an active risk, not something theoretical.</w:t>
      </w:r>
    </w:p>
    <w:p>
      <w:pPr>
        <w:ind w:firstLine="720"/>
        <w:jc w:val="left"/>
      </w:pPr>
      <w:r>
        <w:rPr>
          <w:rFonts w:ascii="Times New Roman" w:hAnsi="Times New Roman" w:eastAsia="Times New Roman"/>
          <w:sz w:val="24"/>
        </w:rPr>
        <w:t>Controls within the network are not maintained consistently, separation of duties is weak, and access is not always adjusted when people move to new positions or leave. This makes it harder to identify who owns a system or action and gives individuals more control than they should have. MUSA needs training, but training alone is not enough. It also needs clear processes, access controls, oversight, workload planning, and reporting channels that employees can actually use (CIS, 2024; NIST, 2020).</w:t>
      </w:r>
    </w:p>
    <w:p>
      <w:pPr>
        <w:pStyle w:val="Heading2"/>
        <w:jc w:val="left"/>
      </w:pPr>
      <w:r>
        <w:rPr>
          <w:rFonts w:ascii="Times New Roman" w:hAnsi="Times New Roman"/>
          <w:b/>
          <w:sz w:val="24"/>
        </w:rPr>
        <w:t>Organizational Factors Affecting Security</w:t>
      </w:r>
    </w:p>
    <w:p>
      <w:pPr>
        <w:pStyle w:val="Heading3"/>
        <w:jc w:val="left"/>
      </w:pPr>
      <w:r>
        <w:rPr>
          <w:rFonts w:ascii="Times New Roman" w:hAnsi="Times New Roman"/>
          <w:b/>
          <w:sz w:val="24"/>
        </w:rPr>
        <w:t>Data Flow</w:t>
      </w:r>
    </w:p>
    <w:p>
      <w:pPr>
        <w:ind w:firstLine="720"/>
        <w:jc w:val="left"/>
      </w:pPr>
      <w:r>
        <w:rPr>
          <w:rFonts w:ascii="Times New Roman" w:hAnsi="Times New Roman" w:eastAsia="Times New Roman"/>
          <w:sz w:val="24"/>
        </w:rPr>
        <w:t>MUSA's data flow is not protected well enough at rest, in transit, or during transfer. There is no consistent encryption, no clear media access control policy, and not enough documentation identifying who is sending data, who is receiving it, and which method is approved. Without that, confidentiality, integrity, and accountability are all weakened. It also becomes easier to exfiltrate data or introduce malware through removable media (CIS, 2024; NIST, 2020).</w:t>
      </w:r>
    </w:p>
    <w:p>
      <w:pPr>
        <w:pStyle w:val="Heading3"/>
        <w:jc w:val="left"/>
      </w:pPr>
      <w:r>
        <w:rPr>
          <w:rFonts w:ascii="Times New Roman" w:hAnsi="Times New Roman"/>
          <w:b/>
          <w:sz w:val="24"/>
        </w:rPr>
        <w:t>Work Setting</w:t>
      </w:r>
    </w:p>
    <w:p>
      <w:pPr>
        <w:ind w:firstLine="720"/>
        <w:jc w:val="left"/>
      </w:pPr>
      <w:r>
        <w:rPr>
          <w:rFonts w:ascii="Times New Roman" w:hAnsi="Times New Roman" w:eastAsia="Times New Roman"/>
          <w:sz w:val="24"/>
        </w:rPr>
        <w:t>The work setting is affected by high turnover, low morale, weak monitoring, and unclear security expectations. When employees do not have enough resources, training, or direction, routine work becomes more error-prone and security steps are easier to bypass. Management has to make the secure way of doing the work the normal way of doing the work, not an extra task added after the fact.</w:t>
      </w:r>
    </w:p>
    <w:p>
      <w:pPr>
        <w:pStyle w:val="Heading3"/>
        <w:jc w:val="left"/>
      </w:pPr>
      <w:r>
        <w:rPr>
          <w:rFonts w:ascii="Times New Roman" w:hAnsi="Times New Roman"/>
          <w:b/>
          <w:sz w:val="24"/>
        </w:rPr>
        <w:t>Work Planning and Control</w:t>
      </w:r>
    </w:p>
    <w:p>
      <w:pPr>
        <w:ind w:firstLine="720"/>
        <w:jc w:val="left"/>
      </w:pPr>
      <w:r>
        <w:rPr>
          <w:rFonts w:ascii="Times New Roman" w:hAnsi="Times New Roman" w:eastAsia="Times New Roman"/>
          <w:sz w:val="24"/>
        </w:rPr>
        <w:t>MUSA has no formal configuration change management process, no consistent separation of duties, and a vulnerability assessment schedule that only runs every three years. Poor task planning, changes in routine, time pressure, and lack of knowledge can directly affect how systems are built, patched, documented, and monitored. MUSA needs defined review frequencies, clear owners, testing, rollback plans, and enough cross-training that one person is not the only person who knows how a critical process works (CIS, 2024; Dempsey et al., 2020).</w:t>
      </w:r>
    </w:p>
    <w:p>
      <w:pPr>
        <w:pStyle w:val="Heading3"/>
        <w:jc w:val="left"/>
      </w:pPr>
      <w:r>
        <w:rPr>
          <w:rFonts w:ascii="Times New Roman" w:hAnsi="Times New Roman"/>
          <w:b/>
          <w:sz w:val="24"/>
        </w:rPr>
        <w:t>Employee Readiness</w:t>
      </w:r>
    </w:p>
    <w:p>
      <w:pPr>
        <w:ind w:firstLine="720"/>
        <w:jc w:val="left"/>
      </w:pPr>
      <w:r>
        <w:rPr>
          <w:rFonts w:ascii="Times New Roman" w:hAnsi="Times New Roman" w:eastAsia="Times New Roman"/>
          <w:sz w:val="24"/>
        </w:rPr>
        <w:t>Employee readiness is more than giving someone annual training and checking a box. Employees need to understand their role, the escalation path, what they are responsible for, and why a control matters. High turnover and low morale also mean MUSA has to account for workload, fatigue, stress, changes in routine, and whether the employee has the knowledge and support to perform the work safely (NIST, 2024).</w:t>
      </w:r>
    </w:p>
    <w:p>
      <w:pPr>
        <w:pStyle w:val="Heading1"/>
        <w:jc w:val="left"/>
      </w:pPr>
      <w:r>
        <w:rPr>
          <w:rFonts w:ascii="Times New Roman" w:hAnsi="Times New Roman"/>
          <w:b/>
          <w:sz w:val="24"/>
        </w:rPr>
        <w:t>Proposal</w:t>
      </w:r>
    </w:p>
    <w:p>
      <w:pPr>
        <w:pStyle w:val="Heading2"/>
        <w:jc w:val="left"/>
      </w:pPr>
      <w:r>
        <w:rPr>
          <w:rFonts w:ascii="Times New Roman" w:hAnsi="Times New Roman"/>
          <w:b/>
          <w:sz w:val="24"/>
        </w:rPr>
        <w:t>Human Factors: Unintentional Threats</w:t>
      </w:r>
    </w:p>
    <w:p>
      <w:pPr>
        <w:ind w:firstLine="720"/>
        <w:jc w:val="left"/>
      </w:pPr>
      <w:r>
        <w:rPr>
          <w:rFonts w:ascii="Times New Roman" w:hAnsi="Times New Roman" w:eastAsia="Times New Roman"/>
          <w:sz w:val="24"/>
        </w:rPr>
        <w:t>Unintentional human error is one of the largest risks for MUSA because the organization has not built enough structure around the employee. An employee can click the wrong email, mishandle information, make a configuration mistake, miss an escalation, or simply make the wrong choice because the process is unclear. The goal should not be to expect perfect behavior from people. The goal should be to build controls around predictable human limitations so one mistake does not become a full security incident.</w:t>
      </w:r>
    </w:p>
    <w:p>
      <w:pPr>
        <w:pStyle w:val="Heading3"/>
        <w:jc w:val="left"/>
      </w:pPr>
      <w:r>
        <w:rPr>
          <w:rFonts w:ascii="Times New Roman" w:hAnsi="Times New Roman"/>
          <w:b/>
          <w:sz w:val="24"/>
        </w:rPr>
        <w:t>Security Awareness and Skills Training</w:t>
      </w:r>
    </w:p>
    <w:p>
      <w:pPr>
        <w:ind w:firstLine="720"/>
        <w:jc w:val="left"/>
      </w:pPr>
      <w:r>
        <w:rPr>
          <w:rFonts w:ascii="Times New Roman" w:hAnsi="Times New Roman" w:eastAsia="Times New Roman"/>
          <w:sz w:val="24"/>
        </w:rPr>
        <w:t>MUSA must provide security awareness training during onboarding and at least annually. Training should cover phishing, business email compromise, pretexting, tailgating, suspicious links, deceptive domains, and the approved way to report suspicious activity. Training content should be reviewed annually and updated after significant changes to the threat environment, technology, or business operations (CIS, 2024; NIST, 2024).</w:t>
      </w:r>
    </w:p>
    <w:p>
      <w:pPr>
        <w:ind w:firstLine="720"/>
        <w:jc w:val="left"/>
      </w:pPr>
      <w:r>
        <w:rPr>
          <w:rFonts w:ascii="Times New Roman" w:hAnsi="Times New Roman" w:eastAsia="Times New Roman"/>
          <w:sz w:val="24"/>
        </w:rPr>
        <w:t>Phishing simulations should be used to measure whether employees can recognize and report suspicious communications, but the goal should be learning rather than punishment. If an employee clicks a simulated phishing message, that should immediately become a teaching moment. The employee should see what was missed, why it mattered, and what to do the next time. MUSA should measure completion rates, assessment scores, and successful reporting rates instead of only counting failures.</w:t>
      </w:r>
    </w:p>
    <w:p>
      <w:pPr>
        <w:pStyle w:val="Heading3"/>
        <w:jc w:val="left"/>
      </w:pPr>
      <w:r>
        <w:rPr>
          <w:rFonts w:ascii="Times New Roman" w:hAnsi="Times New Roman"/>
          <w:b/>
          <w:sz w:val="24"/>
        </w:rPr>
        <w:t>Role-Specific Training and Change Management</w:t>
      </w:r>
    </w:p>
    <w:p>
      <w:pPr>
        <w:ind w:firstLine="720"/>
        <w:jc w:val="left"/>
      </w:pPr>
      <w:r>
        <w:rPr>
          <w:rFonts w:ascii="Times New Roman" w:hAnsi="Times New Roman" w:eastAsia="Times New Roman"/>
          <w:sz w:val="24"/>
        </w:rPr>
        <w:t>General security awareness is not enough for employees who perform technical or sensitive work. Role-specific training should be mandatory before independent work, and readiness checks should be repeated after onboarding, promotion, transfer, or a significant role change. Managers should also maintain primary and backup personnel for critical duties so an absence or turnover event does not leave one person as the only source of knowledge.</w:t>
      </w:r>
    </w:p>
    <w:p>
      <w:pPr>
        <w:ind w:firstLine="720"/>
        <w:jc w:val="left"/>
      </w:pPr>
      <w:r>
        <w:rPr>
          <w:rFonts w:ascii="Times New Roman" w:hAnsi="Times New Roman" w:eastAsia="Times New Roman"/>
          <w:sz w:val="24"/>
        </w:rPr>
        <w:t>MUSA must also establish documented secure configuration baselines and formal change management. Every proposed change should document its purpose, scope, affected systems, operational and security impact, testing method, rollback plan, and approval. Only approved changes should be implemented. After implementation, the change should be validated, and a failed validation or unacceptable risk should trigger rollback (CIS, 2024).</w:t>
      </w:r>
    </w:p>
    <w:p>
      <w:pPr>
        <w:pStyle w:val="Heading3"/>
        <w:jc w:val="left"/>
      </w:pPr>
      <w:r>
        <w:rPr>
          <w:rFonts w:ascii="Times New Roman" w:hAnsi="Times New Roman"/>
          <w:b/>
          <w:sz w:val="24"/>
        </w:rPr>
        <w:t>Workload, Fatigue, and Employee Capacity</w:t>
      </w:r>
    </w:p>
    <w:p>
      <w:pPr>
        <w:ind w:firstLine="720"/>
        <w:jc w:val="left"/>
      </w:pPr>
      <w:r>
        <w:rPr>
          <w:rFonts w:ascii="Times New Roman" w:hAnsi="Times New Roman" w:eastAsia="Times New Roman"/>
          <w:sz w:val="24"/>
        </w:rPr>
        <w:t>MUSA also has to account for the fact that people do not perform at the exact same level every hour of every day. Inattention, stress, anxiety, fatigue, boredom, illness, injury, medication side effects, or a sudden change in routine can affect security-sensitive work. Managers should review workload, staffing, deadlines, and capability and move work when needed instead of treating reduced capacity as something the employee should hide.</w:t>
      </w:r>
    </w:p>
    <w:p>
      <w:pPr>
        <w:ind w:firstLine="720"/>
        <w:jc w:val="left"/>
      </w:pPr>
      <w:r>
        <w:rPr>
          <w:rFonts w:ascii="Times New Roman" w:hAnsi="Times New Roman" w:eastAsia="Times New Roman"/>
          <w:sz w:val="24"/>
        </w:rPr>
        <w:t>Alert fatigue is a specific example. If MUSA installs new logging and IDS/IPS tools and floods analysts with false positives, the tools can create another human-factor problem instead of solving one. Alert thresholds should be tuned at least monthly so analysts can focus on events that actually require attention (Dempsey et al., 2020).</w:t>
      </w:r>
    </w:p>
    <w:p>
      <w:pPr>
        <w:pStyle w:val="Heading2"/>
        <w:jc w:val="left"/>
      </w:pPr>
      <w:r>
        <w:rPr>
          <w:rFonts w:ascii="Times New Roman" w:hAnsi="Times New Roman"/>
          <w:b/>
          <w:sz w:val="24"/>
        </w:rPr>
        <w:t>Human Factors: Intentional Threats</w:t>
      </w:r>
    </w:p>
    <w:p>
      <w:pPr>
        <w:ind w:firstLine="720"/>
        <w:jc w:val="left"/>
      </w:pPr>
      <w:r>
        <w:rPr>
          <w:rFonts w:ascii="Times New Roman" w:hAnsi="Times New Roman" w:eastAsia="Times New Roman"/>
          <w:sz w:val="24"/>
        </w:rPr>
        <w:t>Intentional threats require a different set of controls because the person may deliberately misuse access, steal information, hide activity, or use another employee to get around technical controls. MUSA has already experienced theft reports and security incidents, so insider risk needs to be treated as an active control problem.</w:t>
      </w:r>
    </w:p>
    <w:p>
      <w:pPr>
        <w:ind w:firstLine="720"/>
        <w:jc w:val="left"/>
      </w:pPr>
      <w:r>
        <w:rPr>
          <w:rFonts w:ascii="Times New Roman" w:hAnsi="Times New Roman" w:eastAsia="Times New Roman"/>
          <w:sz w:val="24"/>
        </w:rPr>
        <w:t>MUSA should maintain an inventory of user, administrator, and service accounts and review active accounts at least quarterly. Access should follow least privilege and documented job responsibilities. Role-based access should be reviewed at least annually, administrator privileges should use dedicated administrator accounts, and access should be revoked promptly after termination, suspension, or a role change (CIS, 2024; NIST, 2020).</w:t>
      </w:r>
    </w:p>
    <w:p>
      <w:pPr>
        <w:pStyle w:val="Heading3"/>
        <w:jc w:val="left"/>
      </w:pPr>
      <w:r>
        <w:rPr>
          <w:rFonts w:ascii="Times New Roman" w:hAnsi="Times New Roman"/>
          <w:b/>
          <w:sz w:val="24"/>
        </w:rPr>
        <w:t>Separation of Duties, Rotation, and Leave</w:t>
      </w:r>
    </w:p>
    <w:p>
      <w:pPr>
        <w:ind w:firstLine="720"/>
        <w:jc w:val="left"/>
      </w:pPr>
      <w:r>
        <w:rPr>
          <w:rFonts w:ascii="Times New Roman" w:hAnsi="Times New Roman" w:eastAsia="Times New Roman"/>
          <w:sz w:val="24"/>
        </w:rPr>
        <w:t>MUSA should separate initiation, approval, execution, and reconciliation duties so one person cannot control an entire critical process. Required access and incompatible duties should be documented in a role-based access matrix and reviewed annually. If full separation is not possible, the exception should document the business need, risk, compensating controls, approver, and expiration date (CIS, 2024; Wilkins, 2022).</w:t>
      </w:r>
    </w:p>
    <w:p>
      <w:pPr>
        <w:ind w:firstLine="720"/>
        <w:jc w:val="left"/>
      </w:pPr>
      <w:r>
        <w:rPr>
          <w:rFonts w:ascii="Times New Roman" w:hAnsi="Times New Roman" w:eastAsia="Times New Roman"/>
          <w:sz w:val="24"/>
        </w:rPr>
        <w:t>Employees in high-risk roles should also rotate or take at least five consecutive business days of mandatory leave annually. During that time, a cross-trained employee should perform the duties and review transactions, records, system activity, and outstanding work. The purpose is not just coverage. It creates a point where activity can be seen by someone other than the person who normally controls the process (Wilkins, 2022).</w:t>
      </w:r>
    </w:p>
    <w:p>
      <w:pPr>
        <w:pStyle w:val="Heading3"/>
        <w:jc w:val="left"/>
      </w:pPr>
      <w:r>
        <w:rPr>
          <w:rFonts w:ascii="Times New Roman" w:hAnsi="Times New Roman"/>
          <w:b/>
          <w:sz w:val="24"/>
        </w:rPr>
        <w:t>Monitoring, Investigation, and Social Engineering</w:t>
      </w:r>
    </w:p>
    <w:p>
      <w:pPr>
        <w:ind w:firstLine="720"/>
        <w:jc w:val="left"/>
      </w:pPr>
      <w:r>
        <w:rPr>
          <w:rFonts w:ascii="Times New Roman" w:hAnsi="Times New Roman" w:eastAsia="Times New Roman"/>
          <w:sz w:val="24"/>
        </w:rPr>
        <w:t>MUSA must centralize security event alerting through a SIEM or another approved analytics platform and deploy host-based and network-based intrusion detection and prevention where appropriate. Security logs should be reviewed at least weekly for abnormal access, unusual downloads, unauthorized changes, and other suspicious activity. Confirmed findings should be documented and escalated through the incident response process (CIS, 2024; National Institute of Standards and Technology, 2006).</w:t>
      </w:r>
    </w:p>
    <w:p>
      <w:pPr>
        <w:ind w:firstLine="720"/>
        <w:jc w:val="left"/>
      </w:pPr>
      <w:r>
        <w:rPr>
          <w:rFonts w:ascii="Times New Roman" w:hAnsi="Times New Roman" w:eastAsia="Times New Roman"/>
          <w:sz w:val="24"/>
        </w:rPr>
        <w:t>The organization should also maintain a confidential reporting channel for suspected theft, fraud, data misuse, policy violations, or other intentional misconduct. Good-faith reporting should be protected from retaliation, while deliberate misconduct remains subject to investigation and consequences. Human Resources, information security, legal counsel, and management should coordinate evidence-based investigations.</w:t>
      </w:r>
    </w:p>
    <w:p>
      <w:pPr>
        <w:ind w:firstLine="720"/>
        <w:jc w:val="left"/>
      </w:pPr>
      <w:r>
        <w:rPr>
          <w:rFonts w:ascii="Times New Roman" w:hAnsi="Times New Roman" w:eastAsia="Times New Roman"/>
          <w:sz w:val="24"/>
        </w:rPr>
        <w:t>External social engineering belongs in this section as well because the attacker is intentionally manipulating an authorized person. Employees need repeated practice identifying urgency, deceptive domains, unexpected credential requests, payment requests, pretexting, and tailgating. Strong technical controls can still be bypassed when an authorized employee is convinced to open the door for the attacker.</w:t>
      </w:r>
    </w:p>
    <w:p>
      <w:pPr>
        <w:pStyle w:val="Heading2"/>
        <w:jc w:val="left"/>
      </w:pPr>
      <w:r>
        <w:rPr>
          <w:rFonts w:ascii="Times New Roman" w:hAnsi="Times New Roman"/>
          <w:b/>
          <w:sz w:val="24"/>
        </w:rPr>
        <w:t>Organizational Factors: Data Flow</w:t>
      </w:r>
    </w:p>
    <w:p>
      <w:pPr>
        <w:ind w:firstLine="720"/>
        <w:jc w:val="left"/>
      </w:pPr>
      <w:r>
        <w:rPr>
          <w:rFonts w:ascii="Times New Roman" w:hAnsi="Times New Roman" w:eastAsia="Times New Roman"/>
          <w:sz w:val="24"/>
        </w:rPr>
        <w:t>MUSA must maintain a documented data management process that addresses data sensitivity, ownership, handling, retention, and disposal. Data should be classified using approved labels such as Sensitive, Confidential, and Public. Internal, external, and service-provider data flows should identify the sender, receiver, classification, approved transmission method, and destination (CIS, 2024).</w:t>
      </w:r>
    </w:p>
    <w:p>
      <w:pPr>
        <w:pStyle w:val="Heading3"/>
        <w:jc w:val="left"/>
      </w:pPr>
      <w:r>
        <w:rPr>
          <w:rFonts w:ascii="Times New Roman" w:hAnsi="Times New Roman"/>
          <w:b/>
          <w:sz w:val="24"/>
        </w:rPr>
        <w:t>Trusted Connections and Data Integrity</w:t>
      </w:r>
    </w:p>
    <w:p>
      <w:pPr>
        <w:ind w:firstLine="720"/>
        <w:jc w:val="left"/>
      </w:pPr>
      <w:r>
        <w:rPr>
          <w:rFonts w:ascii="Times New Roman" w:hAnsi="Times New Roman" w:eastAsia="Times New Roman"/>
          <w:sz w:val="24"/>
        </w:rPr>
        <w:t>Sensitive data in transit should use approved encryption such as TLS or OpenSSH. Sensitive data at rest should use approved storage-layer or application-layer encryption and should not be stored in plaintext without an approved exception and compensating controls. Approved hashes, checksums, message authentication codes, or digital signatures should be used when MUSA needs to verify integrity or sender authenticity (CIS, 2024; NIST, 2020).</w:t>
      </w:r>
    </w:p>
    <w:p>
      <w:pPr>
        <w:ind w:firstLine="720"/>
        <w:jc w:val="left"/>
      </w:pPr>
      <w:r>
        <w:rPr>
          <w:rFonts w:ascii="Times New Roman" w:hAnsi="Times New Roman" w:eastAsia="Times New Roman"/>
          <w:sz w:val="24"/>
        </w:rPr>
        <w:t>This is how MUSA can answer two basic questions: did the data come from who we expected, and is it still what the sender intended? Access, modification, transmission, and disposal of sensitive information should also be logged so MUSA has an audit trail when something changes.</w:t>
      </w:r>
    </w:p>
    <w:p>
      <w:pPr>
        <w:ind w:firstLine="720"/>
        <w:jc w:val="left"/>
      </w:pPr>
      <w:r>
        <w:rPr>
          <w:rFonts w:ascii="Times New Roman" w:hAnsi="Times New Roman" w:eastAsia="Times New Roman"/>
          <w:sz w:val="24"/>
        </w:rPr>
        <w:t>Removable media should be restricted to need-to-know access. Autorun and autoplay should be disabled, anti-malware tools should scan removable media automatically, and sensitive information stored on removable media should use approved encryption. Otherwise, MUSA has no real control over whether data is leaving the environment or whether malware is entering it (CIS, 2024).</w:t>
      </w:r>
    </w:p>
    <w:p>
      <w:pPr>
        <w:pStyle w:val="Heading3"/>
        <w:jc w:val="left"/>
      </w:pPr>
      <w:r>
        <w:rPr>
          <w:rFonts w:ascii="Times New Roman" w:hAnsi="Times New Roman"/>
          <w:b/>
          <w:sz w:val="24"/>
        </w:rPr>
        <w:t>Communication Around Data Flow</w:t>
      </w:r>
    </w:p>
    <w:p>
      <w:pPr>
        <w:ind w:firstLine="720"/>
        <w:jc w:val="left"/>
      </w:pPr>
      <w:r>
        <w:rPr>
          <w:rFonts w:ascii="Times New Roman" w:hAnsi="Times New Roman" w:eastAsia="Times New Roman"/>
          <w:sz w:val="24"/>
        </w:rPr>
        <w:t>Poor communication can break a control even when the technology itself works. Employees need to know which channels are approved for sensitive information, when encryption or integrity validation is required, who owns the data, and where a suspicious transfer should be escalated. Data-flow documentation should identify those owners and escalation paths so employees do not have to guess or rely on whoever happens to answer first.</w:t>
      </w:r>
    </w:p>
    <w:p>
      <w:pPr>
        <w:pStyle w:val="Heading2"/>
        <w:jc w:val="left"/>
      </w:pPr>
      <w:r>
        <w:rPr>
          <w:rFonts w:ascii="Times New Roman" w:hAnsi="Times New Roman"/>
          <w:b/>
          <w:sz w:val="24"/>
        </w:rPr>
        <w:t>Organizational Factors: Work Settings</w:t>
      </w:r>
    </w:p>
    <w:p>
      <w:pPr>
        <w:ind w:firstLine="720"/>
        <w:jc w:val="left"/>
      </w:pPr>
      <w:r>
        <w:rPr>
          <w:rFonts w:ascii="Times New Roman" w:hAnsi="Times New Roman" w:eastAsia="Times New Roman"/>
          <w:sz w:val="24"/>
        </w:rPr>
        <w:t>The policies under development establish the procedural and supervisory conditions MUSA needs to make sure work is actually performed the way it was designed. Governance requires assigning accountability instead of assuming everyone understands who owns a control (Dempsey et al., 2020).</w:t>
      </w:r>
    </w:p>
    <w:p>
      <w:pPr>
        <w:ind w:firstLine="720"/>
        <w:jc w:val="left"/>
      </w:pPr>
      <w:r>
        <w:rPr>
          <w:rFonts w:ascii="Times New Roman" w:hAnsi="Times New Roman" w:eastAsia="Times New Roman"/>
          <w:sz w:val="24"/>
        </w:rPr>
        <w:t>MUSA should centralize logging, conduct weekly reviews, and escalate major findings for further action. IDS/IPS should be integrated with SIEM so alerting and monitoring of host and network activity are not spread across disconnected tools. Removable media should be restricted, separation of duties should be documented, and mandatory leave should create an independent review point for high-risk work (CIS, 2024).</w:t>
      </w:r>
    </w:p>
    <w:p>
      <w:pPr>
        <w:ind w:firstLine="720"/>
        <w:jc w:val="left"/>
      </w:pPr>
      <w:r>
        <w:rPr>
          <w:rFonts w:ascii="Times New Roman" w:hAnsi="Times New Roman" w:eastAsia="Times New Roman"/>
          <w:sz w:val="24"/>
        </w:rPr>
        <w:t>Managers also need to review workload, staffing, deadlines, and capability. Cross-training should identify primary and secondary personnel for critical duties. This reduces the chance that an employee rushes through a task, skips a control because there is no backup, or becomes the only person who understands how a process works.</w:t>
      </w:r>
    </w:p>
    <w:p>
      <w:pPr>
        <w:pStyle w:val="Heading2"/>
        <w:jc w:val="left"/>
      </w:pPr>
      <w:r>
        <w:rPr>
          <w:rFonts w:ascii="Times New Roman" w:hAnsi="Times New Roman"/>
          <w:b/>
          <w:sz w:val="24"/>
        </w:rPr>
        <w:t>Organizational Factors: Work Planning and Control</w:t>
      </w:r>
    </w:p>
    <w:p>
      <w:pPr>
        <w:ind w:firstLine="720"/>
        <w:jc w:val="left"/>
      </w:pPr>
      <w:r>
        <w:rPr>
          <w:rFonts w:ascii="Times New Roman" w:hAnsi="Times New Roman" w:eastAsia="Times New Roman"/>
          <w:sz w:val="24"/>
        </w:rPr>
        <w:t>MUSA is adding logging and intrusion detection in an environment with an outdated vulnerability assessment policy, no configuration management, high turnover, no established capacity baseline, and low morale. Poor task planning and lack of knowledge, skills, and ability can affect how the system is documented, built, and tracked. Most importantly, MUSA cannot tune effectively without a baseline.</w:t>
      </w:r>
    </w:p>
    <w:p>
      <w:pPr>
        <w:ind w:firstLine="720"/>
        <w:jc w:val="left"/>
      </w:pPr>
      <w:r>
        <w:rPr>
          <w:rFonts w:ascii="Times New Roman" w:hAnsi="Times New Roman" w:eastAsia="Times New Roman"/>
          <w:sz w:val="24"/>
        </w:rPr>
        <w:t>The organization should replace the three-year vulnerability cycle with quarterly reviews and follow-up rescans, while reviewing outstanding vulnerabilities and remediation priorities at least monthly. Configuration baselines should be documented, and formal change management should include approval, testing, rollback plans, and post-implementation validation. Monthly alert tuning is also necessary to reduce false positives and prevent alert fatigue (CIS, 2024; Dempsey et al., 2020).</w:t>
      </w:r>
    </w:p>
    <w:p>
      <w:pPr>
        <w:ind w:firstLine="720"/>
        <w:jc w:val="left"/>
      </w:pPr>
      <w:r>
        <w:rPr>
          <w:rFonts w:ascii="Times New Roman" w:hAnsi="Times New Roman" w:eastAsia="Times New Roman"/>
          <w:sz w:val="24"/>
        </w:rPr>
        <w:t>Frequency should be a defined program requirement, not an operational preference. If a review is supposed to happen weekly, monthly, quarterly, or annually, that expectation should be written, owned, and evidenced. Otherwise, the control exists only when someone remembers to perform it (Dempsey et al., 2020).</w:t>
      </w:r>
    </w:p>
    <w:p>
      <w:pPr>
        <w:pStyle w:val="Heading2"/>
        <w:jc w:val="left"/>
      </w:pPr>
      <w:r>
        <w:rPr>
          <w:rFonts w:ascii="Times New Roman" w:hAnsi="Times New Roman"/>
          <w:b/>
          <w:sz w:val="24"/>
        </w:rPr>
        <w:t>Organizational Factors: Employee Readiness</w:t>
      </w:r>
    </w:p>
    <w:p>
      <w:pPr>
        <w:ind w:firstLine="720"/>
        <w:jc w:val="left"/>
      </w:pPr>
      <w:r>
        <w:rPr>
          <w:rFonts w:ascii="Times New Roman" w:hAnsi="Times New Roman" w:eastAsia="Times New Roman"/>
          <w:sz w:val="24"/>
        </w:rPr>
        <w:t>When MUSA expands or changes policy, it also has to define what employee readiness looks like. Training should begin at onboarding and include phishing, business email compromise, pretexting, tailgating, and the reporting process. Role-specific training should be completed before independent work, and readiness checks should be repeated periodically (NIST, 2024).</w:t>
      </w:r>
    </w:p>
    <w:p>
      <w:pPr>
        <w:ind w:firstLine="720"/>
        <w:jc w:val="left"/>
      </w:pPr>
      <w:r>
        <w:rPr>
          <w:rFonts w:ascii="Times New Roman" w:hAnsi="Times New Roman" w:eastAsia="Times New Roman"/>
          <w:sz w:val="24"/>
        </w:rPr>
        <w:t>MUSA should also account for inattention, stress and anxiety, fatigue and boredom, illness or injury, medication side effects, and values or attitudes toward security. That does not mean management should police an employee's private medical information. It means the organization needs enough staffing, backup coverage, cross-training, and flexibility to move critical work when a person's capacity changes. Security cannot depend on one employee pretending they are fine because there is nobody else who can do the task.</w:t>
      </w:r>
    </w:p>
    <w:p>
      <w:pPr>
        <w:ind w:firstLine="720"/>
        <w:jc w:val="left"/>
      </w:pPr>
      <w:r>
        <w:rPr>
          <w:rFonts w:ascii="Times New Roman" w:hAnsi="Times New Roman" w:eastAsia="Times New Roman"/>
          <w:sz w:val="24"/>
        </w:rPr>
        <w:t>Good-faith reporting should remain nonpunitive and without retaliation. MUSA should maintain a confidential reporting channel through Human Resources and information security and should distinguish a genuine mistake from intentional misconduct. If employees believe every mistake will be punished, they are more likely to hide it, and hidden errors are harder to contain.</w:t>
      </w:r>
    </w:p>
    <w:p>
      <w:pPr>
        <w:pStyle w:val="Heading2"/>
        <w:jc w:val="left"/>
      </w:pPr>
      <w:r>
        <w:rPr>
          <w:rFonts w:ascii="Times New Roman" w:hAnsi="Times New Roman"/>
          <w:b/>
          <w:sz w:val="24"/>
        </w:rPr>
        <w:t>Continuous Monitoring and Program Measurement</w:t>
      </w:r>
    </w:p>
    <w:p>
      <w:pPr>
        <w:ind w:firstLine="720"/>
        <w:jc w:val="left"/>
      </w:pPr>
      <w:r>
        <w:rPr>
          <w:rFonts w:ascii="Times New Roman" w:hAnsi="Times New Roman" w:eastAsia="Times New Roman"/>
          <w:sz w:val="24"/>
        </w:rPr>
        <w:t>Continuous monitoring should tell MUSA whether the controls above are actually working. At a minimum, security logs should be reviewed weekly, alert thresholds tuned monthly, outstanding vulnerabilities reviewed monthly, internal assets scanned quarterly, role-based access reviewed annually, and major environmental changes followed by additional review. Those frequencies need owners and evidence, not just a statement in policy (Dempsey et al., 2020).</w:t>
      </w:r>
    </w:p>
    <w:p>
      <w:pPr>
        <w:ind w:firstLine="720"/>
        <w:jc w:val="left"/>
      </w:pPr>
      <w:r>
        <w:rPr>
          <w:rFonts w:ascii="Times New Roman" w:hAnsi="Times New Roman" w:eastAsia="Times New Roman"/>
          <w:sz w:val="24"/>
        </w:rPr>
        <w:t>MUSA should also track training completion, assessment scores, successful phishing reports, unresolved vulnerabilities, false-positive rates, access-review exceptions, and recurring findings. The point of collecting metrics is not to create another dashboard nobody uses. The results should feed back into training, staffing, policy, and technical configuration. If the same problem keeps appearing, the control or the process around it needs to be looked at again.</w:t>
      </w:r>
    </w:p>
    <w:p>
      <w:pPr>
        <w:pStyle w:val="Heading1"/>
        <w:jc w:val="left"/>
      </w:pPr>
      <w:r>
        <w:rPr>
          <w:rFonts w:ascii="Times New Roman" w:hAnsi="Times New Roman"/>
          <w:b/>
          <w:sz w:val="24"/>
        </w:rPr>
        <w:t>Communication Plan</w:t>
      </w:r>
    </w:p>
    <w:p>
      <w:pPr>
        <w:pStyle w:val="Heading2"/>
        <w:jc w:val="left"/>
      </w:pPr>
      <w:r>
        <w:rPr>
          <w:rFonts w:ascii="Times New Roman" w:hAnsi="Times New Roman"/>
          <w:b/>
          <w:sz w:val="24"/>
        </w:rPr>
        <w:t>Messaging Strategies and Executive Buy-In</w:t>
      </w:r>
    </w:p>
    <w:p>
      <w:pPr>
        <w:ind w:firstLine="720"/>
        <w:jc w:val="left"/>
      </w:pPr>
      <w:r>
        <w:rPr>
          <w:rFonts w:ascii="Times New Roman" w:hAnsi="Times New Roman" w:eastAsia="Times New Roman"/>
          <w:sz w:val="24"/>
        </w:rPr>
        <w:t>Senior leadership needs actionable, high-level information that respects their time but still makes the enterprise risk clear. The primary message should avoid technical jargon and frame cybersecurity in terms of operational risk, business continuity, regulatory alignment, and return on investment. A concise weekly overview through Jira and SharePoint can show policy progress, active workstreams, major risks, and decisions that require leadership approval (National Institute of Standards and Technology, 2008).</w:t>
      </w:r>
    </w:p>
    <w:p>
      <w:pPr>
        <w:ind w:firstLine="720"/>
        <w:jc w:val="left"/>
      </w:pPr>
      <w:r>
        <w:rPr>
          <w:rFonts w:ascii="Times New Roman" w:hAnsi="Times New Roman" w:eastAsia="Times New Roman"/>
          <w:sz w:val="24"/>
        </w:rPr>
        <w:t>The executive view should include simple progress and risk visualizations, with links to the detailed policy or technical work when leadership wants to drill down. It should also make ownership visible. Executives need to know who owns the work, what is blocked, what decision is needed, and what happens if the risk is accepted instead of fixed.</w:t>
      </w:r>
    </w:p>
    <w:p>
      <w:pPr>
        <w:ind w:firstLine="720"/>
        <w:jc w:val="left"/>
      </w:pPr>
      <w:r>
        <w:rPr>
          <w:rFonts w:ascii="Times New Roman" w:hAnsi="Times New Roman" w:eastAsia="Times New Roman"/>
          <w:sz w:val="24"/>
        </w:rPr>
        <w:t>The financial impact also needs to be stated plainly because security funding often comes down to dollars and cents. IBM reported a global average breach cost of approximately $4.99 million in 2026 (IBM, 2026). For MUSA, that cost would not only mean technical recovery. It could include downtime, investigation, legal expenses, regulatory exposure, customer notification, lost business, and damage to customer trust. In an organization that already lacks centralized logging, regular vulnerability assessment, and annual awareness training, leadership should see security spending as loss prevention rather than just another IT expense.</w:t>
      </w:r>
    </w:p>
    <w:p>
      <w:pPr>
        <w:pStyle w:val="Heading2"/>
        <w:jc w:val="left"/>
      </w:pPr>
      <w:r>
        <w:rPr>
          <w:rFonts w:ascii="Times New Roman" w:hAnsi="Times New Roman"/>
          <w:b/>
          <w:sz w:val="24"/>
        </w:rPr>
        <w:t>Nontechnical Audience Messaging Strategy</w:t>
      </w:r>
    </w:p>
    <w:p>
      <w:pPr>
        <w:ind w:firstLine="720"/>
        <w:jc w:val="left"/>
      </w:pPr>
      <w:r>
        <w:rPr>
          <w:rFonts w:ascii="Times New Roman" w:hAnsi="Times New Roman" w:eastAsia="Times New Roman"/>
          <w:sz w:val="24"/>
        </w:rPr>
        <w:t>Rebuilding security awareness across a workforce with low morale and fatigue requires moving away from long compliance training as the only communication method. Nontechnical employees should receive short, plain-language audio or video briefs that cover policy changes, threat awareness, and common questions without requiring them to sit through another hour-long presentation.</w:t>
      </w:r>
    </w:p>
    <w:p>
      <w:pPr>
        <w:ind w:firstLine="720"/>
        <w:jc w:val="left"/>
      </w:pPr>
      <w:r>
        <w:rPr>
          <w:rFonts w:ascii="Times New Roman" w:hAnsi="Times New Roman" w:eastAsia="Times New Roman"/>
          <w:sz w:val="24"/>
        </w:rPr>
        <w:t>A dedicated inquiry mailbox should give employees a direct way to ask questions or get guidance without fear of reprisal. Questions can also be answered in the morning brief so employees see that asking a question is participation, not failure. Light workplace content, team spotlights, and practical examples can also help break up security fatigue (Renaud &amp; Weir, 2016).</w:t>
      </w:r>
    </w:p>
    <w:p>
      <w:pPr>
        <w:pStyle w:val="Heading3"/>
        <w:jc w:val="left"/>
      </w:pPr>
      <w:r>
        <w:rPr>
          <w:rFonts w:ascii="Times New Roman" w:hAnsi="Times New Roman"/>
          <w:b/>
          <w:sz w:val="24"/>
        </w:rPr>
        <w:t>Non-Punitive Phishing Simulations and Gamification</w:t>
      </w:r>
    </w:p>
    <w:p>
      <w:pPr>
        <w:ind w:firstLine="720"/>
        <w:jc w:val="left"/>
      </w:pPr>
      <w:r>
        <w:rPr>
          <w:rFonts w:ascii="Times New Roman" w:hAnsi="Times New Roman" w:eastAsia="Times New Roman"/>
          <w:sz w:val="24"/>
        </w:rPr>
        <w:t>Because MUSA has already experienced successful phishing and social engineering, simulated phishing should include immediate remediation. When an employee interacts with a simulated message, the learning page should point out the red flags, deceptive domain, urgency tactic, or credential request that made the message suspicious. A short validation question can reinforce the lesson before the employee returns to work (Wash &amp; Cooper, 2020).</w:t>
      </w:r>
    </w:p>
    <w:p>
      <w:pPr>
        <w:ind w:firstLine="720"/>
        <w:jc w:val="left"/>
      </w:pPr>
      <w:r>
        <w:rPr>
          <w:rFonts w:ascii="Times New Roman" w:hAnsi="Times New Roman" w:eastAsia="Times New Roman"/>
          <w:sz w:val="24"/>
        </w:rPr>
        <w:t>Recognition can also be used for employees who consistently identify and report suspicious communications. The goal is to make reporting the behavior that gets noticed, not just clicking the behavior that gets punished.</w:t>
      </w:r>
    </w:p>
    <w:p>
      <w:pPr>
        <w:pStyle w:val="Heading2"/>
        <w:jc w:val="left"/>
      </w:pPr>
      <w:r>
        <w:rPr>
          <w:rFonts w:ascii="Times New Roman" w:hAnsi="Times New Roman"/>
          <w:b/>
          <w:sz w:val="24"/>
        </w:rPr>
        <w:t>Personal Relevance and Bidirectional Governance</w:t>
      </w:r>
    </w:p>
    <w:p>
      <w:pPr>
        <w:ind w:firstLine="720"/>
        <w:jc w:val="left"/>
      </w:pPr>
      <w:r>
        <w:rPr>
          <w:rFonts w:ascii="Times New Roman" w:hAnsi="Times New Roman" w:eastAsia="Times New Roman"/>
          <w:sz w:val="24"/>
        </w:rPr>
        <w:t>To make cybersecurity meaningful to nontechnical personnel, the training also needs personal utility. Voluntary Lunch and Learn sessions can cover things employees can use outside work, such as securing home Wi-Fi, recognizing identity theft and financial fraud, and protecting family members on digital platforms. That helps employees see security as a life skill instead of only another workplace requirement (Bada &amp; Nurse, 2019).</w:t>
      </w:r>
    </w:p>
    <w:p>
      <w:pPr>
        <w:ind w:firstLine="720"/>
        <w:jc w:val="left"/>
      </w:pPr>
      <w:r>
        <w:rPr>
          <w:rFonts w:ascii="Times New Roman" w:hAnsi="Times New Roman" w:eastAsia="Times New Roman"/>
          <w:sz w:val="24"/>
        </w:rPr>
        <w:t>Communication also has to work in both directions. Regular town halls and feedback sessions should give employees a place to explain where a security policy causes workflow friction or where a process is unclear. Frontline employees see how the policy works in real operations, and leadership needs that information if the organization expects the control to work outside the document (Edmondson, 2018; Schein, 2010).</w:t>
      </w:r>
    </w:p>
    <w:p>
      <w:pPr>
        <w:pStyle w:val="Heading2"/>
        <w:jc w:val="left"/>
      </w:pPr>
      <w:r>
        <w:rPr>
          <w:rFonts w:ascii="Times New Roman" w:hAnsi="Times New Roman"/>
          <w:b/>
          <w:sz w:val="24"/>
        </w:rPr>
        <w:t>Building a Healthy Security Culture</w:t>
      </w:r>
    </w:p>
    <w:p>
      <w:pPr>
        <w:ind w:firstLine="720"/>
        <w:jc w:val="left"/>
      </w:pPr>
      <w:r>
        <w:rPr>
          <w:rFonts w:ascii="Times New Roman" w:hAnsi="Times New Roman" w:eastAsia="Times New Roman"/>
          <w:sz w:val="24"/>
        </w:rPr>
        <w:t>A healthy security culture protects operational continuity, reputation, and customer trust because technology cannot secure the organization by itself. When the internal culture has low morale, poor communication, and no real support for reporting problems, employees become disconnected from the security goals of the company. Human vigilance is still an important layer of defense, especially against social engineering (Reegård et al., 2019).</w:t>
      </w:r>
    </w:p>
    <w:p>
      <w:pPr>
        <w:ind w:firstLine="720"/>
        <w:jc w:val="left"/>
      </w:pPr>
      <w:r>
        <w:rPr>
          <w:rFonts w:ascii="Times New Roman" w:hAnsi="Times New Roman" w:eastAsia="Times New Roman"/>
          <w:sz w:val="24"/>
        </w:rPr>
        <w:t>Security should be treated as a shared responsibility, but shared responsibility does not mean pushing all responsibility onto the employee. Leadership has to provide the training, tools, staffing, and processes that make secure behavior possible. Employees then need to understand what is expected, why it matters, and where to go when something goes wrong.</w:t>
      </w:r>
    </w:p>
    <w:p>
      <w:pPr>
        <w:ind w:firstLine="720"/>
        <w:jc w:val="left"/>
      </w:pPr>
      <w:r>
        <w:rPr>
          <w:rFonts w:ascii="Times New Roman" w:hAnsi="Times New Roman" w:eastAsia="Times New Roman"/>
          <w:sz w:val="24"/>
        </w:rPr>
        <w:t>For a nontechnical audience, the reason is simple: MUSA cannot protect customer information or keep services available if employees are afraid to report mistakes, do not understand the process, or do not have the resources to follow it. A healthy security culture makes the secure action easier to understand, easier to perform, and easier to report when it fails.</w:t>
      </w:r>
    </w:p>
    <w:p>
      <w:pPr>
        <w:pStyle w:val="Heading1"/>
        <w:jc w:val="left"/>
      </w:pPr>
      <w:r>
        <w:rPr>
          <w:rFonts w:ascii="Times New Roman" w:hAnsi="Times New Roman"/>
          <w:b/>
          <w:sz w:val="24"/>
        </w:rPr>
        <w:t>Conclusion</w:t>
      </w:r>
    </w:p>
    <w:p>
      <w:pPr>
        <w:ind w:firstLine="720"/>
        <w:jc w:val="left"/>
      </w:pPr>
      <w:r>
        <w:rPr>
          <w:rFonts w:ascii="Times New Roman" w:hAnsi="Times New Roman" w:eastAsia="Times New Roman"/>
          <w:sz w:val="24"/>
        </w:rPr>
        <w:t>MUSA's current security posture is weak because the problem is not one missing tool or one employee behavior. The organization has gaps in monitoring, vulnerability management, data protection, change management, internal controls, employee readiness, and communication. Successful phishing and social engineering attacks, theft reports, and limited visibility show what happens when those gaps are allowed to exist together.</w:t>
      </w:r>
    </w:p>
    <w:p>
      <w:pPr>
        <w:ind w:firstLine="720"/>
        <w:jc w:val="left"/>
      </w:pPr>
      <w:r>
        <w:rPr>
          <w:rFonts w:ascii="Times New Roman" w:hAnsi="Times New Roman" w:eastAsia="Times New Roman"/>
          <w:sz w:val="24"/>
        </w:rPr>
        <w:t>The proposed program addresses those problems with technical controls, clear policy, continuous monitoring, training, stronger work planning, data protection, and communication for both leadership and employees. More importantly, it gives MUSA a way to measure whether the controls are actually being performed and whether the same problems keep returning.</w:t>
      </w:r>
    </w:p>
    <w:p>
      <w:pPr>
        <w:ind w:firstLine="720"/>
        <w:jc w:val="left"/>
      </w:pPr>
      <w:r>
        <w:rPr>
          <w:rFonts w:ascii="Times New Roman" w:hAnsi="Times New Roman" w:eastAsia="Times New Roman"/>
          <w:sz w:val="24"/>
        </w:rPr>
        <w:t>The long-term goal is to move MUSA out of a reactive security posture. That requires leadership support, employees who understand their responsibility, controls that can be evidenced, and a culture where people can report a problem before it becomes a larger incident. Security cannot be something the organization talks about only after an attack. It has to become part of how the work is planned and performed every day.</w:t>
      </w:r>
    </w:p>
    <w:p>
      <w:r>
        <w:br w:type="page"/>
      </w:r>
    </w:p>
    <w:p>
      <w:pPr>
        <w:pStyle w:val="Heading1"/>
        <w:jc w:val="left"/>
      </w:pPr>
      <w:r>
        <w:rPr>
          <w:rFonts w:ascii="Times New Roman" w:hAnsi="Times New Roman"/>
          <w:b/>
          <w:sz w:val="24"/>
        </w:rPr>
        <w:t>References</w:t>
      </w:r>
    </w:p>
    <w:p>
      <w:pPr>
        <w:spacing w:line="480" w:lineRule="auto" w:after="0"/>
        <w:ind w:left="720" w:hanging="720"/>
      </w:pPr>
      <w:r>
        <w:rPr>
          <w:rFonts w:ascii="Times New Roman" w:hAnsi="Times New Roman"/>
          <w:sz w:val="24"/>
        </w:rPr>
        <w:t>Bada, M., &amp; Nurse, J. R. C. (2019). Developing cybersecurity education and awareness programmes: A review of challenges and best practices. arXiv. https://doi.org/10.48550/arXiv.1903.02388</w:t>
      </w:r>
    </w:p>
    <w:p>
      <w:pPr>
        <w:spacing w:line="480" w:lineRule="auto" w:after="0"/>
        <w:ind w:left="720" w:hanging="720"/>
      </w:pPr>
      <w:r>
        <w:rPr>
          <w:rFonts w:ascii="Times New Roman" w:hAnsi="Times New Roman"/>
          <w:sz w:val="24"/>
        </w:rPr>
        <w:t>Center for Internet Security. (2024). CIS Critical Security Controls v8.1. https://www.cisecurity.org/controls/v8-1</w:t>
      </w:r>
    </w:p>
    <w:p>
      <w:pPr>
        <w:spacing w:line="480" w:lineRule="auto" w:after="0"/>
        <w:ind w:left="720" w:hanging="720"/>
      </w:pPr>
      <w:r>
        <w:rPr>
          <w:rFonts w:ascii="Times New Roman" w:hAnsi="Times New Roman"/>
          <w:sz w:val="24"/>
        </w:rPr>
        <w:t>Dempsey, K., Pillitteri, V. Y., Baer, C., Niemeyer, R., Rudman, R., &amp; Urban, S. (2020). Assessing information security continuous monitoring (ISCM) programs: Developing an ISCM program assessment (NIST Special Publication 800-137A). National Institute of Standards and Technology. https://doi.org/10.6028/NIST.SP.800-137A</w:t>
      </w:r>
    </w:p>
    <w:p>
      <w:pPr>
        <w:spacing w:line="480" w:lineRule="auto" w:after="0"/>
        <w:ind w:left="720" w:hanging="720"/>
      </w:pPr>
      <w:r>
        <w:rPr>
          <w:rFonts w:ascii="Times New Roman" w:hAnsi="Times New Roman"/>
          <w:sz w:val="24"/>
        </w:rPr>
        <w:t>Edmondson, A. C. (2018). The fearless organization: Creating psychological safety in the workplace for learning, innovation, and growth. John Wiley &amp; Sons.</w:t>
      </w:r>
    </w:p>
    <w:p>
      <w:pPr>
        <w:spacing w:line="480" w:lineRule="auto" w:after="0"/>
        <w:ind w:left="720" w:hanging="720"/>
      </w:pPr>
      <w:r>
        <w:rPr>
          <w:rFonts w:ascii="Times New Roman" w:hAnsi="Times New Roman"/>
          <w:sz w:val="24"/>
        </w:rPr>
        <w:t>IBM. (2026). Cost of a data breach report 2026. https://www.ibm.com/reports/data-breach</w:t>
      </w:r>
    </w:p>
    <w:p>
      <w:pPr>
        <w:spacing w:line="480" w:lineRule="auto" w:after="0"/>
        <w:ind w:left="720" w:hanging="720"/>
      </w:pPr>
      <w:r>
        <w:rPr>
          <w:rFonts w:ascii="Times New Roman" w:hAnsi="Times New Roman"/>
          <w:sz w:val="24"/>
        </w:rPr>
        <w:t>National Institute of Standards and Technology. (2006). Guide to computer security log management (NIST Special Publication 800-92). U.S. Department of Commerce. https://doi.org/10.6028/NIST.SP.800-92</w:t>
      </w:r>
    </w:p>
    <w:p>
      <w:pPr>
        <w:spacing w:line="480" w:lineRule="auto" w:after="0"/>
        <w:ind w:left="720" w:hanging="720"/>
      </w:pPr>
      <w:r>
        <w:rPr>
          <w:rFonts w:ascii="Times New Roman" w:hAnsi="Times New Roman"/>
          <w:sz w:val="24"/>
        </w:rPr>
        <w:t>National Institute of Standards and Technology. (2007). Guide to intrusion detection and prevention systems (IDPS) (NIST Special Publication 800-94). U.S. Department of Commerce. https://doi.org/10.6028/NIST.SP.800-94</w:t>
      </w:r>
    </w:p>
    <w:p>
      <w:pPr>
        <w:spacing w:line="480" w:lineRule="auto" w:after="0"/>
        <w:ind w:left="720" w:hanging="720"/>
      </w:pPr>
      <w:r>
        <w:rPr>
          <w:rFonts w:ascii="Times New Roman" w:hAnsi="Times New Roman"/>
          <w:sz w:val="24"/>
        </w:rPr>
        <w:t>National Institute of Standards and Technology. (2008). Performance measurement guide for information security (NIST Special Publication 800-55, Rev. 1). U.S. Department of Commerce. https://doi.org/10.6028/NIST.SP.800-55r1</w:t>
      </w:r>
    </w:p>
    <w:p>
      <w:pPr>
        <w:spacing w:line="480" w:lineRule="auto" w:after="0"/>
        <w:ind w:left="720" w:hanging="720"/>
      </w:pPr>
      <w:r>
        <w:rPr>
          <w:rFonts w:ascii="Times New Roman" w:hAnsi="Times New Roman"/>
          <w:sz w:val="24"/>
        </w:rPr>
        <w:t>National Institute of Standards and Technology. (2020). Security and privacy controls for information systems and organizations (NIST Special Publication 800-53, Rev. 5). U.S. Department of Commerce. https://doi.org/10.6028/NIST.SP.800-53r5</w:t>
      </w:r>
    </w:p>
    <w:p>
      <w:pPr>
        <w:spacing w:line="480" w:lineRule="auto" w:after="0"/>
        <w:ind w:left="720" w:hanging="720"/>
      </w:pPr>
      <w:r>
        <w:rPr>
          <w:rFonts w:ascii="Times New Roman" w:hAnsi="Times New Roman"/>
          <w:sz w:val="24"/>
        </w:rPr>
        <w:t>National Institute of Standards and Technology. (2024). Building a cybersecurity and privacy learning program (NIST Special Publication 800-50, Rev. 1). U.S. Department of Commerce. https://doi.org/10.6028/NIST.SP.800-50r1</w:t>
      </w:r>
    </w:p>
    <w:p>
      <w:pPr>
        <w:spacing w:line="480" w:lineRule="auto" w:after="0"/>
        <w:ind w:left="720" w:hanging="720"/>
      </w:pPr>
      <w:r>
        <w:rPr>
          <w:rFonts w:ascii="Times New Roman" w:hAnsi="Times New Roman"/>
          <w:sz w:val="24"/>
        </w:rPr>
        <w:t>Reegård, K., Blackett, C., &amp; Katta, V. (2019). The concept of cybersecurity culture: A literature review. In Proceedings of the 29th European Safety and Reliability Conference (pp. 3570–3577). Research Publishing Services. https://doi.org/10.3850/978-981-11-2724-3_0877-cd</w:t>
      </w:r>
    </w:p>
    <w:p>
      <w:pPr>
        <w:spacing w:line="480" w:lineRule="auto" w:after="0"/>
        <w:ind w:left="720" w:hanging="720"/>
      </w:pPr>
      <w:r>
        <w:rPr>
          <w:rFonts w:ascii="Times New Roman" w:hAnsi="Times New Roman"/>
          <w:sz w:val="24"/>
        </w:rPr>
        <w:t>Renaud, K., &amp; Weir, C. S. (2016). Cybersecurity education: The state of the art and future directions. Computers &amp; Security, 58, 1–19. https://doi.org/10.1016/j.cose.2015.11.006</w:t>
      </w:r>
    </w:p>
    <w:p>
      <w:pPr>
        <w:spacing w:line="480" w:lineRule="auto" w:after="0"/>
        <w:ind w:left="720" w:hanging="720"/>
      </w:pPr>
      <w:r>
        <w:rPr>
          <w:rFonts w:ascii="Times New Roman" w:hAnsi="Times New Roman"/>
          <w:sz w:val="24"/>
        </w:rPr>
        <w:t>Ross, R. (2012). Guide for conducting risk assessments (NIST Special Publication 800-30, Rev. 1). National Institute of Standards and Technology. https://doi.org/10.6028/NIST.SP.800-30r1</w:t>
      </w:r>
    </w:p>
    <w:p>
      <w:pPr>
        <w:spacing w:line="480" w:lineRule="auto" w:after="0"/>
        <w:ind w:left="720" w:hanging="720"/>
      </w:pPr>
      <w:r>
        <w:rPr>
          <w:rFonts w:ascii="Times New Roman" w:hAnsi="Times New Roman"/>
          <w:sz w:val="24"/>
        </w:rPr>
        <w:t>Schein, E. H. (2010). Organizational culture and leadership (4th ed.). Jossey-Bass.</w:t>
      </w:r>
    </w:p>
    <w:p>
      <w:pPr>
        <w:spacing w:line="480" w:lineRule="auto" w:after="0"/>
        <w:ind w:left="720" w:hanging="720"/>
      </w:pPr>
      <w:r>
        <w:rPr>
          <w:rFonts w:ascii="Times New Roman" w:hAnsi="Times New Roman"/>
          <w:sz w:val="24"/>
        </w:rPr>
        <w:t>Wash, R., &amp; Cooper, M. M. (2020). Who provides software training? How teachers' background shapes user security practices. Proceedings of the ACM on Human-Computer Interaction, 4(CSCW2), Article 148. https://doi.org/10.1145/3415219</w:t>
      </w:r>
    </w:p>
    <w:p>
      <w:pPr>
        <w:spacing w:line="480" w:lineRule="auto" w:after="0"/>
        <w:ind w:left="720" w:hanging="720"/>
      </w:pPr>
      <w:r>
        <w:rPr>
          <w:rFonts w:ascii="Times New Roman" w:hAnsi="Times New Roman"/>
          <w:sz w:val="24"/>
        </w:rPr>
        <w:t>Wilkins, B. R. (2022, June 29). The need for job rotation. ISACA. https://www.isaca.org/resources/news-and-trends/newsletters/atisaca/2022/volume-26/the-need-for-job-rotation</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480" w:lineRule="auto"/>
      <w:outlineLvl w:val="0"/>
    </w:pPr>
    <w:rPr>
      <w:rFonts w:asciiTheme="majorHAnsi" w:eastAsiaTheme="majorEastAsia" w:hAnsiTheme="majorHAnsi" w:cstheme="majorBidi" w:ascii="Times New Roman" w:hAnsi="Times New Roman" w:eastAsia="Times New Roman"/>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0" w:after="0" w:line="480" w:lineRule="auto"/>
      <w:outlineLvl w:val="1"/>
    </w:pPr>
    <w:rPr>
      <w:rFonts w:asciiTheme="majorHAnsi" w:eastAsiaTheme="majorEastAsia" w:hAnsiTheme="majorHAnsi" w:cstheme="majorBidi" w:ascii="Times New Roman" w:hAnsi="Times New Roman" w:eastAsia="Times New Roman"/>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0" w:after="0" w:line="480" w:lineRule="auto"/>
      <w:outlineLvl w:val="2"/>
    </w:pPr>
    <w:rPr>
      <w:rFonts w:asciiTheme="majorHAnsi" w:eastAsiaTheme="majorEastAsia" w:hAnsiTheme="majorHAnsi" w:cstheme="majorBidi" w:ascii="Times New Roman" w:hAnsi="Times New Roman" w:eastAsia="Times New Roman"/>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