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D7F84" w14:textId="6ED1148E" w:rsidR="00AF3958" w:rsidRPr="003B32B1" w:rsidRDefault="00AF3958">
      <w:pPr>
        <w:spacing w:before="2880" w:line="480" w:lineRule="auto"/>
        <w:jc w:val="center"/>
        <w:rPr>
          <w:rFonts w:ascii="Times New Roman" w:hAnsi="Times New Roman"/>
        </w:rPr>
      </w:pPr>
      <w:r>
        <w:rPr>
          <w:rFonts w:ascii="Times New Roman" w:hAnsi="Times New Roman"/>
          <w:b/>
          <w:bCs/>
        </w:rPr>
        <w:t>Communication Plan for the MUSA Corporation Security Awareness Program</w:t>
      </w:r>
      <w:r>
        <w:br/>
      </w:r>
      <w:r>
        <w:rPr>
          <w:rFonts w:ascii="Times New Roman" w:hAnsi="Times New Roman"/>
        </w:rPr>
        <w:t>Marjean Mayo-Baker</w:t>
      </w:r>
      <w:r>
        <w:br/>
      </w:r>
      <w:r w:rsidR="00B30249">
        <w:rPr>
          <w:rFonts w:ascii="Times New Roman" w:hAnsi="Times New Roman"/>
        </w:rPr>
        <w:t>Souther</w:t>
      </w:r>
      <w:r w:rsidR="003B32B1">
        <w:rPr>
          <w:rFonts w:ascii="Times New Roman" w:hAnsi="Times New Roman"/>
        </w:rPr>
        <w:t>n New Hampshire University</w:t>
      </w:r>
      <w:r w:rsidR="003B32B1">
        <w:rPr>
          <w:rFonts w:ascii="Times New Roman" w:hAnsi="Times New Roman"/>
        </w:rPr>
        <w:br/>
        <w:t>IT-552</w:t>
      </w:r>
      <w:r w:rsidR="003B32B1">
        <w:rPr>
          <w:rFonts w:ascii="Times New Roman" w:hAnsi="Times New Roman"/>
        </w:rPr>
        <w:br/>
        <w:t>Earl Campbell</w:t>
      </w:r>
      <w:r>
        <w:br/>
      </w:r>
      <w:r>
        <w:rPr>
          <w:rFonts w:ascii="Times New Roman" w:hAnsi="Times New Roman"/>
        </w:rPr>
        <w:t>August 31, 2026</w:t>
      </w:r>
    </w:p>
    <w:p w14:paraId="1D72A4C0" w14:textId="77777777" w:rsidR="00AF3958" w:rsidRDefault="00AF3958">
      <w:pPr>
        <w:pageBreakBefore/>
        <w:spacing w:line="480" w:lineRule="auto"/>
      </w:pPr>
    </w:p>
    <w:p w14:paraId="5F7EC8CD" w14:textId="77777777" w:rsidR="0051521B" w:rsidRPr="00A10090" w:rsidRDefault="00AB0C5C">
      <w:pPr>
        <w:spacing w:line="480" w:lineRule="auto"/>
        <w:jc w:val="center"/>
        <w:rPr>
          <w:rFonts w:ascii="Times New Roman" w:hAnsi="Times New Roman" w:cs="Times New Roman"/>
        </w:rPr>
      </w:pPr>
      <w:r w:rsidRPr="00380535">
        <w:rPr>
          <w:rFonts w:ascii="Times New Roman" w:hAnsi="Times New Roman"/>
          <w:b/>
        </w:rPr>
        <w:t>Communication Plan for the MUSA Corporation Security Awareness Program</w:t>
      </w:r>
    </w:p>
    <w:p w14:paraId="0D26B2EF" w14:textId="77777777" w:rsidR="0051521B" w:rsidRPr="00A10090" w:rsidRDefault="00AB0C5C">
      <w:pPr>
        <w:spacing w:line="480" w:lineRule="auto"/>
        <w:jc w:val="center"/>
        <w:rPr>
          <w:rFonts w:ascii="Times New Roman" w:hAnsi="Times New Roman" w:cs="Times New Roman"/>
        </w:rPr>
      </w:pPr>
      <w:r w:rsidRPr="005D583A">
        <w:rPr>
          <w:rFonts w:ascii="Times New Roman" w:hAnsi="Times New Roman"/>
          <w:b/>
        </w:rPr>
        <w:t>Introduction</w:t>
      </w:r>
    </w:p>
    <w:p w14:paraId="0EACC30F"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As the newly appointed Chief Information Security Officer (CISO) for Multiple United Security Assurance (MUSA) Corporation, establishing a robust security posture requires addressing both technical vulnerabilities and organizational dynamics. The organization currently operates with critical security deficiencies, including the complete absence of annual security awareness training, unmonitored logging, sporadic vulnerability assessments, and an absence of formal change management. Compounding these technical exposures is a dysfunctional security culture characterized by low employee morale, high turnover, and frequent security incidents and internal theft reports. Technical controls cannot succeed in isolation; human behavior and organizational buy-in serve as the definitive baseline for enterprise defense.</w:t>
      </w:r>
    </w:p>
    <w:p w14:paraId="14C3C98E"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This communication plan establishes a comprehensive strategy to secure long-term executive sponsorship and cultivate widespread employee engagement. Gaining executive buy-</w:t>
      </w:r>
      <w:proofErr w:type="gramStart"/>
      <w:r w:rsidRPr="00A10090">
        <w:rPr>
          <w:rFonts w:ascii="Times New Roman" w:hAnsi="Times New Roman" w:cs="Times New Roman"/>
        </w:rPr>
        <w:t>in</w:t>
      </w:r>
      <w:proofErr w:type="gramEnd"/>
      <w:r w:rsidRPr="00A10090">
        <w:rPr>
          <w:rFonts w:ascii="Times New Roman" w:hAnsi="Times New Roman" w:cs="Times New Roman"/>
        </w:rPr>
        <w:t xml:space="preserve"> ensures that the security program receives adequate resources and strategic alignment with enterprise goals. Concurrently, engaging nontechnical personnel transforms everyday employees from exploitable targets into active defenders of corporate assets. By delivering targeted, transparent, and empathetic messaging across both stakeholder groups, MUSA Corporation can systematically dismantle cultural friction and build a resilient security posture.</w:t>
      </w:r>
    </w:p>
    <w:p w14:paraId="474E53AC" w14:textId="77777777" w:rsidR="0051521B" w:rsidRPr="00A10090" w:rsidRDefault="00AB0C5C">
      <w:pPr>
        <w:spacing w:line="480" w:lineRule="auto"/>
        <w:jc w:val="center"/>
        <w:rPr>
          <w:rFonts w:ascii="Times New Roman" w:hAnsi="Times New Roman" w:cs="Times New Roman"/>
        </w:rPr>
      </w:pPr>
      <w:r w:rsidRPr="00ED7C06">
        <w:rPr>
          <w:rFonts w:ascii="Times New Roman" w:hAnsi="Times New Roman"/>
          <w:b/>
        </w:rPr>
        <w:t>Senior Leadership Messaging Strategy</w:t>
      </w:r>
    </w:p>
    <w:p w14:paraId="2D9AC437"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 xml:space="preserve">Senior leadership requires actionable, high-level business intelligence that respects operational time constraints while providing absolute clarity on enterprise risk. To achieve this, the primary </w:t>
      </w:r>
      <w:r w:rsidRPr="00A10090">
        <w:rPr>
          <w:rFonts w:ascii="Times New Roman" w:hAnsi="Times New Roman" w:cs="Times New Roman"/>
        </w:rPr>
        <w:lastRenderedPageBreak/>
        <w:t>messaging vehicle for the executive suite is a concise, single-page weekly progress overview delivered asynchronously through an integrated Jira and SharePoint knowledge base. This format avoids technical jargon, framing cybersecurity initiatives strictly in terms of operational risk, business continuity, regulatory alignment, and return on investment (National Institute of Standards and Technology [NIST], 2003).</w:t>
      </w:r>
    </w:p>
    <w:p w14:paraId="25664F58"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The executive interface incorporates clean data visualizations, such as milestone progress bars and risk-reduction charts, illustrating completed objectives, active workstreams, and scheduled project phases. Embedded SharePoint links allow executive leaders to drill down into detailed team workflows, policy documentation, and architectural plans without cluttering the primary summary. Furthermore, the platform integrates a centralized FAQ repository outlining designated project owners, operational scopes, and defined escalation pathways. This structured visibility instills executive confidence, establishes clear governance, and justifies continuous program funding (NIST, 2008).</w:t>
      </w:r>
    </w:p>
    <w:p w14:paraId="7F2F4E17" w14:textId="77777777" w:rsidR="0051521B" w:rsidRPr="00A10090" w:rsidRDefault="00AB0C5C">
      <w:pPr>
        <w:spacing w:line="480" w:lineRule="auto"/>
        <w:jc w:val="center"/>
        <w:rPr>
          <w:rFonts w:ascii="Times New Roman" w:hAnsi="Times New Roman" w:cs="Times New Roman"/>
        </w:rPr>
      </w:pPr>
      <w:r w:rsidRPr="008A061D">
        <w:rPr>
          <w:rFonts w:ascii="Times New Roman" w:hAnsi="Times New Roman"/>
          <w:b/>
        </w:rPr>
        <w:t>Risk Telemetry and Policy Governance</w:t>
      </w:r>
    </w:p>
    <w:p w14:paraId="4DC3F0F2"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The Jira and SharePoint executive interface operates across three core analytical pillars: strategic policy governance, operational telemetry, and human capital health:</w:t>
      </w:r>
    </w:p>
    <w:p w14:paraId="1BDC217D" w14:textId="77777777" w:rsidR="0051521B" w:rsidRPr="00A10090" w:rsidRDefault="00AB0C5C" w:rsidP="009245B1">
      <w:pPr>
        <w:pStyle w:val="ListParagraph"/>
        <w:numPr>
          <w:ilvl w:val="0"/>
          <w:numId w:val="1"/>
        </w:numPr>
        <w:rPr>
          <w:rFonts w:ascii="Times New Roman" w:hAnsi="Times New Roman" w:cs="Times New Roman"/>
        </w:rPr>
      </w:pPr>
      <w:r w:rsidRPr="003133A9">
        <w:rPr>
          <w:rFonts w:ascii="Times New Roman" w:hAnsi="Times New Roman"/>
          <w:b/>
        </w:rPr>
        <w:t>Policy Governance:</w:t>
      </w:r>
      <w:r w:rsidRPr="003133A9">
        <w:rPr>
          <w:rFonts w:ascii="Times New Roman" w:hAnsi="Times New Roman"/>
        </w:rPr>
        <w:t xml:space="preserve"> The platform maps the lifecycle of emerging security policies</w:t>
      </w:r>
      <w:r w:rsidRPr="003133A9">
        <w:rPr>
          <w:rFonts w:ascii="Times New Roman" w:hAnsi="Times New Roman"/>
        </w:rPr>
        <w:t>, including</w:t>
      </w:r>
      <w:r w:rsidRPr="003133A9">
        <w:rPr>
          <w:rFonts w:ascii="Times New Roman" w:hAnsi="Times New Roman"/>
        </w:rPr>
        <w:t xml:space="preserve"> mandatory separation of duties, configuration change management, and media access control</w:t>
      </w:r>
      <w:r w:rsidRPr="003133A9">
        <w:rPr>
          <w:rFonts w:ascii="Times New Roman" w:hAnsi="Times New Roman"/>
        </w:rPr>
        <w:t xml:space="preserve">, </w:t>
      </w:r>
      <w:r w:rsidRPr="003133A9">
        <w:rPr>
          <w:rFonts w:ascii="Times New Roman" w:hAnsi="Times New Roman"/>
        </w:rPr>
        <w:t>highlighting specific decision thresholds requiring formal executive authorization.</w:t>
      </w:r>
    </w:p>
    <w:p w14:paraId="0BB8C969" w14:textId="77777777" w:rsidR="0051521B" w:rsidRPr="00A10090" w:rsidRDefault="0051521B" w:rsidP="00A10090">
      <w:pPr>
        <w:numPr>
          <w:ilvl w:val="0"/>
          <w:numId w:val="1"/>
        </w:numPr>
        <w:spacing w:line="480" w:lineRule="auto"/>
        <w:rPr>
          <w:rFonts w:ascii="Times New Roman" w:hAnsi="Times New Roman" w:cs="Times New Roman"/>
        </w:rPr>
      </w:pPr>
      <w:r w:rsidRPr="00A10090">
        <w:rPr>
          <w:rFonts w:ascii="Times New Roman" w:hAnsi="Times New Roman" w:cs="Times New Roman"/>
          <w:b/>
          <w:bCs/>
        </w:rPr>
        <w:t>Operational Telemetry:</w:t>
      </w:r>
      <w:r w:rsidRPr="00A10090">
        <w:rPr>
          <w:rFonts w:ascii="Times New Roman" w:hAnsi="Times New Roman" w:cs="Times New Roman"/>
        </w:rPr>
        <w:t xml:space="preserve"> Addressing MUSA Corporation's historical vulnerability landscape, the dashboard aggregates incident data concerning physical theft, unauthorized network activities, and policy infractions, pinpointing systemic operational risks before they escalate into catastrophic breaches.</w:t>
      </w:r>
    </w:p>
    <w:p w14:paraId="4B13864E" w14:textId="77777777" w:rsidR="0051521B" w:rsidRPr="00A10090" w:rsidRDefault="0051521B" w:rsidP="00A10090">
      <w:pPr>
        <w:numPr>
          <w:ilvl w:val="0"/>
          <w:numId w:val="1"/>
        </w:numPr>
        <w:spacing w:line="480" w:lineRule="auto"/>
        <w:rPr>
          <w:rFonts w:ascii="Times New Roman" w:hAnsi="Times New Roman" w:cs="Times New Roman"/>
        </w:rPr>
      </w:pPr>
      <w:r w:rsidRPr="00A10090">
        <w:rPr>
          <w:rFonts w:ascii="Times New Roman" w:hAnsi="Times New Roman" w:cs="Times New Roman"/>
          <w:b/>
          <w:bCs/>
        </w:rPr>
        <w:lastRenderedPageBreak/>
        <w:t>Human Capital Health:</w:t>
      </w:r>
      <w:r w:rsidRPr="00A10090">
        <w:rPr>
          <w:rFonts w:ascii="Times New Roman" w:hAnsi="Times New Roman" w:cs="Times New Roman"/>
        </w:rPr>
        <w:t xml:space="preserve"> Recognizing the operational impact of workforce dissatisfaction, the platform correlates training adoption rates with employee sentiment metrics derived from regular pulse surveys. Providing empirical data linking morale improvement with enhanced security compliance demonstrates the measurable value of culture-focused investments.</w:t>
      </w:r>
    </w:p>
    <w:p w14:paraId="0325068D" w14:textId="77777777" w:rsidR="0051521B" w:rsidRPr="00A10090" w:rsidRDefault="00AB0C5C">
      <w:pPr>
        <w:spacing w:line="480" w:lineRule="auto"/>
        <w:jc w:val="center"/>
        <w:rPr>
          <w:rFonts w:ascii="Times New Roman" w:hAnsi="Times New Roman" w:cs="Times New Roman"/>
        </w:rPr>
      </w:pPr>
      <w:r w:rsidRPr="00B15FAB">
        <w:rPr>
          <w:rFonts w:ascii="Times New Roman" w:hAnsi="Times New Roman"/>
          <w:b/>
        </w:rPr>
        <w:t>Nontechnical Audience Messaging Strategy</w:t>
      </w:r>
    </w:p>
    <w:p w14:paraId="1E11AA90"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Rebuilding security awareness across a workforce experiencing low morale and fatigue requires moving away from traditional, lengthy compliance training. The messaging strategy for nontechnical personnel prioritizes accessible micro-learning delivered through daily morning audio and video briefs. Designed to be consumed in minutes during morning routines, these briefs present policy updates, procedural clarifications, and threat awareness topics in plain, accessible language.</w:t>
      </w:r>
    </w:p>
    <w:p w14:paraId="113D1E63" w14:textId="77777777" w:rsidR="0051521B" w:rsidRPr="00A10090" w:rsidRDefault="00AB0C5C">
      <w:pPr>
        <w:spacing w:line="480" w:lineRule="auto"/>
        <w:rPr>
          <w:rFonts w:ascii="Times New Roman" w:hAnsi="Times New Roman" w:cs="Times New Roman"/>
        </w:rPr>
      </w:pPr>
      <w:r w:rsidRPr="00876AFF">
        <w:rPr>
          <w:rFonts w:ascii="Times New Roman" w:hAnsi="Times New Roman"/>
        </w:rPr>
        <w:t>To lower barriers between employees and the security team, a dedicated inquiry mailbox provides staff with a direct channel to ask questions and seek guidance without fear of reprisal. Communications intentionally integrate engaging, morale-boosting segments</w:t>
      </w:r>
      <w:r w:rsidR="00876AFF">
        <w:rPr>
          <w:rFonts w:ascii="Times New Roman" w:hAnsi="Times New Roman"/>
        </w:rPr>
        <w:t>, including</w:t>
      </w:r>
      <w:r w:rsidRPr="00876AFF">
        <w:rPr>
          <w:rFonts w:ascii="Times New Roman" w:hAnsi="Times New Roman"/>
        </w:rPr>
        <w:t xml:space="preserve"> team spotlights and lighthearted workplace content</w:t>
      </w:r>
      <w:r w:rsidR="00876AFF">
        <w:rPr>
          <w:rFonts w:ascii="Times New Roman" w:hAnsi="Times New Roman"/>
        </w:rPr>
        <w:t xml:space="preserve">, </w:t>
      </w:r>
      <w:r w:rsidRPr="00876AFF">
        <w:rPr>
          <w:rFonts w:ascii="Times New Roman" w:hAnsi="Times New Roman"/>
        </w:rPr>
        <w:t>to break daily monotony and alleviate security fatigue (Renaud &amp; Weir, 2016). Furthermore, questions submitted through the intake mailbox are regularly highlighted and answered within the morning briefs, publicly validating employee engagement and encouraging ongoing participation.</w:t>
      </w:r>
    </w:p>
    <w:p w14:paraId="60BD5EDD" w14:textId="77777777" w:rsidR="0051521B" w:rsidRPr="00A10090" w:rsidRDefault="00AB0C5C">
      <w:pPr>
        <w:spacing w:line="480" w:lineRule="auto"/>
        <w:jc w:val="center"/>
        <w:rPr>
          <w:rFonts w:ascii="Times New Roman" w:hAnsi="Times New Roman" w:cs="Times New Roman"/>
        </w:rPr>
      </w:pPr>
      <w:r w:rsidRPr="00EE5200">
        <w:rPr>
          <w:rFonts w:ascii="Times New Roman" w:hAnsi="Times New Roman"/>
          <w:b/>
        </w:rPr>
        <w:t>Non-Punitive Phishing Simulations and Gamification</w:t>
      </w:r>
    </w:p>
    <w:p w14:paraId="1136C03A"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 xml:space="preserve">Because MUSA Corporation lacks regular awareness training, employees frequently fall victim to phishing and social engineering schemes. Addressing this vulnerability requires replacing </w:t>
      </w:r>
      <w:r w:rsidRPr="00A10090">
        <w:rPr>
          <w:rFonts w:ascii="Times New Roman" w:hAnsi="Times New Roman" w:cs="Times New Roman"/>
        </w:rPr>
        <w:lastRenderedPageBreak/>
        <w:t>punitive measures with a supportive learning model. MUSA Corporation will adopt a non-punitive Just-in-Time Remediation (JITR) framework for simulated phishing exercises:</w:t>
      </w:r>
    </w:p>
    <w:p w14:paraId="6C3B5B93"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When an employee interacts with a simulated phishing artifact, the platform immediately redirects them to an interactive learning page that visually highlights the specific red flags, deceptive domains, and urgency tactics present in the email (Wash &amp; Cooper, 2020). Users complete a brief scenario-based validation check to reinforce the concept before returning to their daily tasks.</w:t>
      </w:r>
    </w:p>
    <w:p w14:paraId="3C34F470"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Complementing this educational mechanism is an incentive-based gamification structure. Inspired by interactive modular learning platforms, employees earn recognition badges, tangible rewards, and public accolades for consistently identifying and reporting suspicious communications. Rewarding vigilance fosters proactive defense behaviors across all organizational departments.</w:t>
      </w:r>
    </w:p>
    <w:p w14:paraId="52E954F6" w14:textId="77777777" w:rsidR="0051521B" w:rsidRPr="00A10090" w:rsidRDefault="00AB0C5C">
      <w:pPr>
        <w:spacing w:line="480" w:lineRule="auto"/>
        <w:jc w:val="center"/>
        <w:rPr>
          <w:rFonts w:ascii="Times New Roman" w:hAnsi="Times New Roman" w:cs="Times New Roman"/>
        </w:rPr>
      </w:pPr>
      <w:r w:rsidRPr="00185BA7">
        <w:rPr>
          <w:rFonts w:ascii="Times New Roman" w:hAnsi="Times New Roman"/>
          <w:b/>
        </w:rPr>
        <w:t>Strategic Necessity and the Human Element</w:t>
      </w:r>
    </w:p>
    <w:p w14:paraId="31DA7C0F"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A healthy security culture protects MUSA Corporation's operational continuity, market reputation, and customer trust. When internal culture is characterized by low morale, unaddressed dissatisfaction, and a lack of procedural enablement, employees become disconnected from organizational objectives and disincentivized from protecting corporate resources. In modern computing environments defined by automated threat tools and advanced AI-driven social engineering, perimeter defenses alone cannot secure enterprise boundaries.</w:t>
      </w:r>
    </w:p>
    <w:p w14:paraId="25D61136"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Human vigilance constitutes a critical layer of defense (</w:t>
      </w:r>
      <w:proofErr w:type="spellStart"/>
      <w:r w:rsidRPr="00A10090">
        <w:rPr>
          <w:rFonts w:ascii="Times New Roman" w:hAnsi="Times New Roman" w:cs="Times New Roman"/>
        </w:rPr>
        <w:t>Reegård</w:t>
      </w:r>
      <w:proofErr w:type="spellEnd"/>
      <w:r w:rsidRPr="00A10090">
        <w:rPr>
          <w:rFonts w:ascii="Times New Roman" w:hAnsi="Times New Roman" w:cs="Times New Roman"/>
        </w:rPr>
        <w:t xml:space="preserve"> et al., 2019). Cultivating a transparent, supportive environment hardens the human element against exploitation, ensuring </w:t>
      </w:r>
      <w:r w:rsidRPr="00A10090">
        <w:rPr>
          <w:rFonts w:ascii="Times New Roman" w:hAnsi="Times New Roman" w:cs="Times New Roman"/>
        </w:rPr>
        <w:lastRenderedPageBreak/>
        <w:t>that everyday personnel actively identify risks rather than serving as inadvertent entry points for malicious actors.</w:t>
      </w:r>
    </w:p>
    <w:p w14:paraId="3C308282" w14:textId="77777777" w:rsidR="0051521B" w:rsidRPr="00A10090" w:rsidRDefault="00AB0C5C">
      <w:pPr>
        <w:spacing w:line="480" w:lineRule="auto"/>
        <w:jc w:val="center"/>
        <w:rPr>
          <w:rFonts w:ascii="Times New Roman" w:hAnsi="Times New Roman" w:cs="Times New Roman"/>
        </w:rPr>
      </w:pPr>
      <w:r w:rsidRPr="00C40963">
        <w:rPr>
          <w:rFonts w:ascii="Times New Roman" w:hAnsi="Times New Roman"/>
          <w:b/>
        </w:rPr>
        <w:t>Personal Relevance and Bi-Directional Governance</w:t>
      </w:r>
    </w:p>
    <w:p w14:paraId="76FE9B46"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To make cybersecurity meaningful to nontechnical personnel, training initiatives must emphasize personal utility. MUSA Corporation will establish voluntary monthly "Lunch and Learn" forums led by internal security professionals and departmental advocates. These sessions cover security practices applicable to daily personal life, including:</w:t>
      </w:r>
    </w:p>
    <w:p w14:paraId="2097CFB5" w14:textId="77777777" w:rsidR="0051521B" w:rsidRPr="00A10090" w:rsidRDefault="0051521B" w:rsidP="00A10090">
      <w:pPr>
        <w:numPr>
          <w:ilvl w:val="0"/>
          <w:numId w:val="2"/>
        </w:numPr>
        <w:spacing w:line="480" w:lineRule="auto"/>
        <w:rPr>
          <w:rFonts w:ascii="Times New Roman" w:hAnsi="Times New Roman" w:cs="Times New Roman"/>
        </w:rPr>
      </w:pPr>
      <w:r w:rsidRPr="00A10090">
        <w:rPr>
          <w:rFonts w:ascii="Times New Roman" w:hAnsi="Times New Roman" w:cs="Times New Roman"/>
        </w:rPr>
        <w:t>Securing residential Wi-Fi networks and smart home hardware.</w:t>
      </w:r>
    </w:p>
    <w:p w14:paraId="7B080F38" w14:textId="77777777" w:rsidR="0051521B" w:rsidRPr="00A10090" w:rsidRDefault="0051521B" w:rsidP="00A10090">
      <w:pPr>
        <w:numPr>
          <w:ilvl w:val="0"/>
          <w:numId w:val="2"/>
        </w:numPr>
        <w:spacing w:line="480" w:lineRule="auto"/>
        <w:rPr>
          <w:rFonts w:ascii="Times New Roman" w:hAnsi="Times New Roman" w:cs="Times New Roman"/>
        </w:rPr>
      </w:pPr>
      <w:r w:rsidRPr="00A10090">
        <w:rPr>
          <w:rFonts w:ascii="Times New Roman" w:hAnsi="Times New Roman" w:cs="Times New Roman"/>
        </w:rPr>
        <w:t>Mitigating personal identity theft and financial fraud risks.</w:t>
      </w:r>
    </w:p>
    <w:p w14:paraId="7F3CC795" w14:textId="77777777" w:rsidR="0051521B" w:rsidRPr="00A10090" w:rsidRDefault="0051521B" w:rsidP="00A10090">
      <w:pPr>
        <w:numPr>
          <w:ilvl w:val="0"/>
          <w:numId w:val="2"/>
        </w:numPr>
        <w:spacing w:line="480" w:lineRule="auto"/>
        <w:rPr>
          <w:rFonts w:ascii="Times New Roman" w:hAnsi="Times New Roman" w:cs="Times New Roman"/>
        </w:rPr>
      </w:pPr>
      <w:r w:rsidRPr="00A10090">
        <w:rPr>
          <w:rFonts w:ascii="Times New Roman" w:hAnsi="Times New Roman" w:cs="Times New Roman"/>
        </w:rPr>
        <w:t>Protecting family members and children across digital platforms.</w:t>
      </w:r>
    </w:p>
    <w:p w14:paraId="59C1A33A"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Teaching practical digital hygiene generates intrinsic motivation, allowing employees to see security as an empowering life skill rather than an administrative burden (Bada &amp; Nurse, 2019).</w:t>
      </w:r>
    </w:p>
    <w:p w14:paraId="749FCAE6"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Sustaining this cultural transformation also requires bi-directional communication between leadership and the workforce. The organization will host regular town halls and feedback sessions where leadership actively listens to employee input. Examining security policies through the operational lens of frontline staff enables leadership to identify workflow friction, address concerns, and build psychological safety across the enterprise (Edmondson, 2018; Schein, 2010).</w:t>
      </w:r>
    </w:p>
    <w:p w14:paraId="4779C476" w14:textId="77777777" w:rsidR="00906073" w:rsidRDefault="00906073">
      <w:pPr>
        <w:spacing w:line="480" w:lineRule="auto"/>
        <w:jc w:val="center"/>
        <w:rPr>
          <w:rFonts w:ascii="Times New Roman" w:hAnsi="Times New Roman"/>
          <w:b/>
        </w:rPr>
      </w:pPr>
    </w:p>
    <w:p w14:paraId="3F8D089B" w14:textId="77777777" w:rsidR="00906073" w:rsidRDefault="00906073">
      <w:pPr>
        <w:spacing w:line="480" w:lineRule="auto"/>
        <w:jc w:val="center"/>
        <w:rPr>
          <w:rFonts w:ascii="Times New Roman" w:hAnsi="Times New Roman"/>
          <w:b/>
        </w:rPr>
      </w:pPr>
    </w:p>
    <w:p w14:paraId="4D05C3C8" w14:textId="77777777" w:rsidR="00906073" w:rsidRDefault="00906073">
      <w:pPr>
        <w:spacing w:line="480" w:lineRule="auto"/>
        <w:jc w:val="center"/>
        <w:rPr>
          <w:rFonts w:ascii="Times New Roman" w:hAnsi="Times New Roman"/>
          <w:b/>
        </w:rPr>
      </w:pPr>
    </w:p>
    <w:p w14:paraId="64EF6E77" w14:textId="208FF063" w:rsidR="0051521B" w:rsidRPr="00A10090" w:rsidRDefault="00AB0C5C">
      <w:pPr>
        <w:spacing w:line="480" w:lineRule="auto"/>
        <w:jc w:val="center"/>
        <w:rPr>
          <w:rFonts w:ascii="Times New Roman" w:hAnsi="Times New Roman" w:cs="Times New Roman"/>
        </w:rPr>
      </w:pPr>
      <w:r w:rsidRPr="003160F3">
        <w:rPr>
          <w:rFonts w:ascii="Times New Roman" w:hAnsi="Times New Roman"/>
          <w:b/>
        </w:rPr>
        <w:lastRenderedPageBreak/>
        <w:t>Conclusion</w:t>
      </w:r>
    </w:p>
    <w:p w14:paraId="444574D8" w14:textId="77777777" w:rsidR="0051521B" w:rsidRPr="00A10090" w:rsidRDefault="0051521B" w:rsidP="00A10090">
      <w:pPr>
        <w:spacing w:line="480" w:lineRule="auto"/>
        <w:rPr>
          <w:rFonts w:ascii="Times New Roman" w:hAnsi="Times New Roman" w:cs="Times New Roman"/>
        </w:rPr>
      </w:pPr>
      <w:r w:rsidRPr="00A10090">
        <w:rPr>
          <w:rFonts w:ascii="Times New Roman" w:hAnsi="Times New Roman" w:cs="Times New Roman"/>
        </w:rPr>
        <w:t xml:space="preserve">Transforming MUSA Corporation’s security posture from a vulnerable, low-morale state into an active, resilient environment requires a balanced communication architecture. By providing senior leadership with transparent, metric-driven Jira and SharePoint dashboards, the security program maintains executive sponsorship, clear governance, and sustained funding. Simultaneously, providing nontechnical personnel with daily micro-learning, non-punitive phishing remediation, personal digital hygiene education, and open town halls </w:t>
      </w:r>
      <w:proofErr w:type="gramStart"/>
      <w:r w:rsidRPr="00A10090">
        <w:rPr>
          <w:rFonts w:ascii="Times New Roman" w:hAnsi="Times New Roman" w:cs="Times New Roman"/>
        </w:rPr>
        <w:t>rebuilds</w:t>
      </w:r>
      <w:proofErr w:type="gramEnd"/>
      <w:r w:rsidRPr="00A10090">
        <w:rPr>
          <w:rFonts w:ascii="Times New Roman" w:hAnsi="Times New Roman" w:cs="Times New Roman"/>
        </w:rPr>
        <w:t xml:space="preserve"> workforce trust and engagement. Together, these unified messaging strategies align organizational goals, elevate employee morale, and establish a sustainable, security-minded culture across the enterprise.</w:t>
      </w:r>
    </w:p>
    <w:p w14:paraId="0B7FA883" w14:textId="77777777" w:rsidR="00906073" w:rsidRDefault="00906073" w:rsidP="00A10090">
      <w:pPr>
        <w:spacing w:line="480" w:lineRule="auto"/>
        <w:jc w:val="center"/>
        <w:rPr>
          <w:rFonts w:ascii="Times New Roman" w:hAnsi="Times New Roman" w:cs="Times New Roman"/>
          <w:b/>
          <w:bCs/>
        </w:rPr>
      </w:pPr>
    </w:p>
    <w:p w14:paraId="60F423BE" w14:textId="77777777" w:rsidR="00906073" w:rsidRDefault="00906073" w:rsidP="00A10090">
      <w:pPr>
        <w:spacing w:line="480" w:lineRule="auto"/>
        <w:jc w:val="center"/>
        <w:rPr>
          <w:rFonts w:ascii="Times New Roman" w:hAnsi="Times New Roman" w:cs="Times New Roman"/>
          <w:b/>
          <w:bCs/>
        </w:rPr>
      </w:pPr>
    </w:p>
    <w:p w14:paraId="183ED9CD" w14:textId="77777777" w:rsidR="00906073" w:rsidRDefault="00906073" w:rsidP="00A10090">
      <w:pPr>
        <w:spacing w:line="480" w:lineRule="auto"/>
        <w:jc w:val="center"/>
        <w:rPr>
          <w:rFonts w:ascii="Times New Roman" w:hAnsi="Times New Roman" w:cs="Times New Roman"/>
          <w:b/>
          <w:bCs/>
        </w:rPr>
      </w:pPr>
    </w:p>
    <w:p w14:paraId="44DEDF7F" w14:textId="77777777" w:rsidR="00906073" w:rsidRDefault="00906073" w:rsidP="00A10090">
      <w:pPr>
        <w:spacing w:line="480" w:lineRule="auto"/>
        <w:jc w:val="center"/>
        <w:rPr>
          <w:rFonts w:ascii="Times New Roman" w:hAnsi="Times New Roman" w:cs="Times New Roman"/>
          <w:b/>
          <w:bCs/>
        </w:rPr>
      </w:pPr>
    </w:p>
    <w:p w14:paraId="31D844F5" w14:textId="77777777" w:rsidR="00906073" w:rsidRDefault="00906073" w:rsidP="00A10090">
      <w:pPr>
        <w:spacing w:line="480" w:lineRule="auto"/>
        <w:jc w:val="center"/>
        <w:rPr>
          <w:rFonts w:ascii="Times New Roman" w:hAnsi="Times New Roman" w:cs="Times New Roman"/>
          <w:b/>
          <w:bCs/>
        </w:rPr>
      </w:pPr>
    </w:p>
    <w:p w14:paraId="5D540963" w14:textId="77777777" w:rsidR="00906073" w:rsidRDefault="00906073" w:rsidP="00A10090">
      <w:pPr>
        <w:spacing w:line="480" w:lineRule="auto"/>
        <w:jc w:val="center"/>
        <w:rPr>
          <w:rFonts w:ascii="Times New Roman" w:hAnsi="Times New Roman" w:cs="Times New Roman"/>
          <w:b/>
          <w:bCs/>
        </w:rPr>
      </w:pPr>
    </w:p>
    <w:p w14:paraId="1867196D" w14:textId="77777777" w:rsidR="00906073" w:rsidRDefault="00906073" w:rsidP="00A10090">
      <w:pPr>
        <w:spacing w:line="480" w:lineRule="auto"/>
        <w:jc w:val="center"/>
        <w:rPr>
          <w:rFonts w:ascii="Times New Roman" w:hAnsi="Times New Roman" w:cs="Times New Roman"/>
          <w:b/>
          <w:bCs/>
        </w:rPr>
      </w:pPr>
    </w:p>
    <w:p w14:paraId="31C10BEB" w14:textId="77777777" w:rsidR="00906073" w:rsidRDefault="00906073" w:rsidP="00A10090">
      <w:pPr>
        <w:spacing w:line="480" w:lineRule="auto"/>
        <w:jc w:val="center"/>
        <w:rPr>
          <w:rFonts w:ascii="Times New Roman" w:hAnsi="Times New Roman" w:cs="Times New Roman"/>
          <w:b/>
          <w:bCs/>
        </w:rPr>
      </w:pPr>
    </w:p>
    <w:p w14:paraId="6973F145" w14:textId="77777777" w:rsidR="00906073" w:rsidRDefault="00906073" w:rsidP="00A10090">
      <w:pPr>
        <w:spacing w:line="480" w:lineRule="auto"/>
        <w:jc w:val="center"/>
        <w:rPr>
          <w:rFonts w:ascii="Times New Roman" w:hAnsi="Times New Roman" w:cs="Times New Roman"/>
          <w:b/>
          <w:bCs/>
        </w:rPr>
      </w:pPr>
    </w:p>
    <w:p w14:paraId="1994293B" w14:textId="77777777" w:rsidR="00906073" w:rsidRDefault="00906073" w:rsidP="00A10090">
      <w:pPr>
        <w:spacing w:line="480" w:lineRule="auto"/>
        <w:jc w:val="center"/>
        <w:rPr>
          <w:rFonts w:ascii="Times New Roman" w:hAnsi="Times New Roman" w:cs="Times New Roman"/>
          <w:b/>
          <w:bCs/>
        </w:rPr>
      </w:pPr>
    </w:p>
    <w:p w14:paraId="37A0653A" w14:textId="1FFBCA7F" w:rsidR="0051521B" w:rsidRPr="00A10090" w:rsidRDefault="0051521B" w:rsidP="00A10090">
      <w:pPr>
        <w:spacing w:line="480" w:lineRule="auto"/>
        <w:jc w:val="center"/>
        <w:rPr>
          <w:rFonts w:ascii="Times New Roman" w:hAnsi="Times New Roman" w:cs="Times New Roman"/>
          <w:b/>
          <w:bCs/>
        </w:rPr>
      </w:pPr>
      <w:r w:rsidRPr="00A10090">
        <w:rPr>
          <w:rFonts w:ascii="Times New Roman" w:hAnsi="Times New Roman" w:cs="Times New Roman"/>
          <w:b/>
          <w:bCs/>
        </w:rPr>
        <w:lastRenderedPageBreak/>
        <w:t>References</w:t>
      </w:r>
    </w:p>
    <w:p w14:paraId="1F5824FC" w14:textId="77777777" w:rsidR="0051521B" w:rsidRPr="00A10090" w:rsidRDefault="0051521B" w:rsidP="00A10090">
      <w:pPr>
        <w:spacing w:line="480" w:lineRule="auto"/>
        <w:ind w:left="720" w:hanging="720"/>
        <w:rPr>
          <w:rFonts w:ascii="Times New Roman" w:hAnsi="Times New Roman" w:cs="Times New Roman"/>
        </w:rPr>
      </w:pPr>
      <w:r w:rsidRPr="00A10090">
        <w:rPr>
          <w:rFonts w:ascii="Times New Roman" w:hAnsi="Times New Roman" w:cs="Times New Roman"/>
        </w:rPr>
        <w:t xml:space="preserve">Bada, M., &amp; Nurse, J. R. C. (2019). Developing cybersecurity education and awareness </w:t>
      </w:r>
      <w:proofErr w:type="spellStart"/>
      <w:r w:rsidRPr="00A10090">
        <w:rPr>
          <w:rFonts w:ascii="Times New Roman" w:hAnsi="Times New Roman" w:cs="Times New Roman"/>
        </w:rPr>
        <w:t>programmes</w:t>
      </w:r>
      <w:proofErr w:type="spellEnd"/>
      <w:r w:rsidRPr="00A10090">
        <w:rPr>
          <w:rFonts w:ascii="Times New Roman" w:hAnsi="Times New Roman" w:cs="Times New Roman"/>
        </w:rPr>
        <w:t xml:space="preserve">: A review of challenges and best practices. </w:t>
      </w:r>
      <w:proofErr w:type="spellStart"/>
      <w:r w:rsidRPr="00A10090">
        <w:rPr>
          <w:rFonts w:ascii="Times New Roman" w:hAnsi="Times New Roman" w:cs="Times New Roman"/>
          <w:i/>
          <w:iCs/>
        </w:rPr>
        <w:t>arXiv</w:t>
      </w:r>
      <w:proofErr w:type="spellEnd"/>
      <w:r w:rsidRPr="00A10090">
        <w:rPr>
          <w:rFonts w:ascii="Times New Roman" w:hAnsi="Times New Roman" w:cs="Times New Roman"/>
        </w:rPr>
        <w:t xml:space="preserve">. </w:t>
      </w:r>
      <w:hyperlink r:id="rId6" w:tgtFrame="_blank" w:history="1">
        <w:r w:rsidRPr="00A10090">
          <w:rPr>
            <w:rStyle w:val="Hyperlink"/>
            <w:rFonts w:ascii="Times New Roman" w:hAnsi="Times New Roman" w:cs="Times New Roman"/>
          </w:rPr>
          <w:t>https://doi.org/10.48550/arXiv.1903.02388</w:t>
        </w:r>
      </w:hyperlink>
    </w:p>
    <w:p w14:paraId="138F92E5" w14:textId="77777777" w:rsidR="0051521B" w:rsidRPr="00A10090" w:rsidRDefault="0051521B" w:rsidP="00A10090">
      <w:pPr>
        <w:spacing w:line="480" w:lineRule="auto"/>
        <w:ind w:left="720" w:hanging="720"/>
        <w:rPr>
          <w:rFonts w:ascii="Times New Roman" w:hAnsi="Times New Roman" w:cs="Times New Roman"/>
        </w:rPr>
      </w:pPr>
      <w:r w:rsidRPr="00A10090">
        <w:rPr>
          <w:rFonts w:ascii="Times New Roman" w:hAnsi="Times New Roman" w:cs="Times New Roman"/>
        </w:rPr>
        <w:t xml:space="preserve">Bada, M., Sasse, A. M., &amp; Nurse, J. R. C. (2019). Cyber security awareness campaigns: Why do they fail to change </w:t>
      </w:r>
      <w:proofErr w:type="spellStart"/>
      <w:r w:rsidRPr="00A10090">
        <w:rPr>
          <w:rFonts w:ascii="Times New Roman" w:hAnsi="Times New Roman" w:cs="Times New Roman"/>
        </w:rPr>
        <w:t>behaviour</w:t>
      </w:r>
      <w:proofErr w:type="spellEnd"/>
      <w:r w:rsidRPr="00A10090">
        <w:rPr>
          <w:rFonts w:ascii="Times New Roman" w:hAnsi="Times New Roman" w:cs="Times New Roman"/>
        </w:rPr>
        <w:t xml:space="preserve">? </w:t>
      </w:r>
      <w:proofErr w:type="spellStart"/>
      <w:r w:rsidRPr="00A10090">
        <w:rPr>
          <w:rFonts w:ascii="Times New Roman" w:hAnsi="Times New Roman" w:cs="Times New Roman"/>
          <w:i/>
          <w:iCs/>
        </w:rPr>
        <w:t>arXiv</w:t>
      </w:r>
      <w:proofErr w:type="spellEnd"/>
      <w:r w:rsidRPr="00A10090">
        <w:rPr>
          <w:rFonts w:ascii="Times New Roman" w:hAnsi="Times New Roman" w:cs="Times New Roman"/>
        </w:rPr>
        <w:t xml:space="preserve">. </w:t>
      </w:r>
      <w:hyperlink r:id="rId7" w:tgtFrame="_blank" w:history="1">
        <w:r w:rsidRPr="00A10090">
          <w:rPr>
            <w:rStyle w:val="Hyperlink"/>
            <w:rFonts w:ascii="Times New Roman" w:hAnsi="Times New Roman" w:cs="Times New Roman"/>
          </w:rPr>
          <w:t>https://doi.org/10.48550/arXiv.1901.02672</w:t>
        </w:r>
      </w:hyperlink>
    </w:p>
    <w:p w14:paraId="06030947" w14:textId="77777777" w:rsidR="0051521B" w:rsidRPr="00A10090" w:rsidRDefault="0051521B" w:rsidP="00A10090">
      <w:pPr>
        <w:spacing w:line="480" w:lineRule="auto"/>
        <w:ind w:left="720" w:hanging="720"/>
        <w:rPr>
          <w:rFonts w:ascii="Times New Roman" w:hAnsi="Times New Roman" w:cs="Times New Roman"/>
        </w:rPr>
      </w:pPr>
      <w:r w:rsidRPr="00A10090">
        <w:rPr>
          <w:rFonts w:ascii="Times New Roman" w:hAnsi="Times New Roman" w:cs="Times New Roman"/>
        </w:rPr>
        <w:t xml:space="preserve">Edmondson, A. C. (2018). </w:t>
      </w:r>
      <w:proofErr w:type="gramStart"/>
      <w:r w:rsidRPr="00A10090">
        <w:rPr>
          <w:rFonts w:ascii="Times New Roman" w:hAnsi="Times New Roman" w:cs="Times New Roman"/>
          <w:i/>
          <w:iCs/>
        </w:rPr>
        <w:t>The fearless</w:t>
      </w:r>
      <w:proofErr w:type="gramEnd"/>
      <w:r w:rsidRPr="00A10090">
        <w:rPr>
          <w:rFonts w:ascii="Times New Roman" w:hAnsi="Times New Roman" w:cs="Times New Roman"/>
          <w:i/>
          <w:iCs/>
        </w:rPr>
        <w:t xml:space="preserve"> organization: Creating psychological safety in the workplace for learning, innovation, and growth</w:t>
      </w:r>
      <w:r w:rsidRPr="00A10090">
        <w:rPr>
          <w:rFonts w:ascii="Times New Roman" w:hAnsi="Times New Roman" w:cs="Times New Roman"/>
        </w:rPr>
        <w:t>. John Wiley &amp; Sons.</w:t>
      </w:r>
    </w:p>
    <w:p w14:paraId="3D87911B" w14:textId="77777777" w:rsidR="0051521B" w:rsidRPr="00A10090" w:rsidRDefault="0051521B" w:rsidP="00A10090">
      <w:pPr>
        <w:spacing w:line="480" w:lineRule="auto"/>
        <w:ind w:left="720" w:hanging="720"/>
        <w:rPr>
          <w:rFonts w:ascii="Times New Roman" w:hAnsi="Times New Roman" w:cs="Times New Roman"/>
        </w:rPr>
      </w:pPr>
      <w:r w:rsidRPr="00A10090">
        <w:rPr>
          <w:rFonts w:ascii="Times New Roman" w:hAnsi="Times New Roman" w:cs="Times New Roman"/>
        </w:rPr>
        <w:t xml:space="preserve">National Institute of Standards and Technology. (2003). </w:t>
      </w:r>
      <w:r w:rsidRPr="00A10090">
        <w:rPr>
          <w:rFonts w:ascii="Times New Roman" w:hAnsi="Times New Roman" w:cs="Times New Roman"/>
          <w:i/>
          <w:iCs/>
        </w:rPr>
        <w:t>Building an information technology security awareness and training program</w:t>
      </w:r>
      <w:r w:rsidRPr="00A10090">
        <w:rPr>
          <w:rFonts w:ascii="Times New Roman" w:hAnsi="Times New Roman" w:cs="Times New Roman"/>
        </w:rPr>
        <w:t xml:space="preserve"> (NIST Special Publication 800-50). U.S. Department of Commerce. </w:t>
      </w:r>
      <w:hyperlink r:id="rId8" w:tgtFrame="_blank" w:history="1">
        <w:r w:rsidRPr="00A10090">
          <w:rPr>
            <w:rStyle w:val="Hyperlink"/>
            <w:rFonts w:ascii="Times New Roman" w:hAnsi="Times New Roman" w:cs="Times New Roman"/>
          </w:rPr>
          <w:t>https://doi.org/10.6028/NIST.SP.800-50</w:t>
        </w:r>
      </w:hyperlink>
    </w:p>
    <w:p w14:paraId="14D68803" w14:textId="77777777" w:rsidR="0051521B" w:rsidRPr="00A10090" w:rsidRDefault="0051521B" w:rsidP="00A10090">
      <w:pPr>
        <w:spacing w:line="480" w:lineRule="auto"/>
        <w:ind w:left="720" w:hanging="720"/>
        <w:rPr>
          <w:rFonts w:ascii="Times New Roman" w:hAnsi="Times New Roman" w:cs="Times New Roman"/>
        </w:rPr>
      </w:pPr>
      <w:r w:rsidRPr="00A10090">
        <w:rPr>
          <w:rFonts w:ascii="Times New Roman" w:hAnsi="Times New Roman" w:cs="Times New Roman"/>
        </w:rPr>
        <w:t xml:space="preserve">National Institute of Standards and Technology. (2008). </w:t>
      </w:r>
      <w:r w:rsidRPr="00A10090">
        <w:rPr>
          <w:rFonts w:ascii="Times New Roman" w:hAnsi="Times New Roman" w:cs="Times New Roman"/>
          <w:i/>
          <w:iCs/>
        </w:rPr>
        <w:t>Performance measurement guide for information security</w:t>
      </w:r>
      <w:r w:rsidRPr="00A10090">
        <w:rPr>
          <w:rFonts w:ascii="Times New Roman" w:hAnsi="Times New Roman" w:cs="Times New Roman"/>
        </w:rPr>
        <w:t xml:space="preserve"> (NIST Special Publication 800-55, Rev. 1). U.S. Department of Commerce. </w:t>
      </w:r>
      <w:hyperlink r:id="rId9" w:tgtFrame="_blank" w:history="1">
        <w:r w:rsidRPr="00A10090">
          <w:rPr>
            <w:rStyle w:val="Hyperlink"/>
            <w:rFonts w:ascii="Times New Roman" w:hAnsi="Times New Roman" w:cs="Times New Roman"/>
          </w:rPr>
          <w:t>https://doi.org/10.6028/NIST.SP.800-55r1</w:t>
        </w:r>
      </w:hyperlink>
    </w:p>
    <w:p w14:paraId="052C8E58" w14:textId="77777777" w:rsidR="0051521B" w:rsidRPr="00A10090" w:rsidRDefault="0051521B" w:rsidP="00A10090">
      <w:pPr>
        <w:spacing w:line="480" w:lineRule="auto"/>
        <w:ind w:left="720" w:hanging="720"/>
        <w:rPr>
          <w:rFonts w:ascii="Times New Roman" w:hAnsi="Times New Roman" w:cs="Times New Roman"/>
        </w:rPr>
      </w:pPr>
      <w:r w:rsidRPr="00A10090">
        <w:rPr>
          <w:rFonts w:ascii="Times New Roman" w:hAnsi="Times New Roman" w:cs="Times New Roman"/>
        </w:rPr>
        <w:t xml:space="preserve">Reegård, K., Blackett, C., &amp; Katta, V. (2019). The concept of cybersecurity culture: A literature review. In </w:t>
      </w:r>
      <w:r w:rsidRPr="00A10090">
        <w:rPr>
          <w:rFonts w:ascii="Times New Roman" w:hAnsi="Times New Roman" w:cs="Times New Roman"/>
          <w:i/>
          <w:iCs/>
        </w:rPr>
        <w:t>Proceedings of the 29th European Safety and Reliability Conference</w:t>
      </w:r>
      <w:r w:rsidRPr="00A10090">
        <w:rPr>
          <w:rFonts w:ascii="Times New Roman" w:hAnsi="Times New Roman" w:cs="Times New Roman"/>
        </w:rPr>
        <w:t xml:space="preserve"> (pp. 3570–3577). Research Publishing Services. </w:t>
      </w:r>
      <w:hyperlink r:id="rId10" w:tgtFrame="_blank" w:history="1">
        <w:r w:rsidRPr="00A10090">
          <w:rPr>
            <w:rStyle w:val="Hyperlink"/>
            <w:rFonts w:ascii="Times New Roman" w:hAnsi="Times New Roman" w:cs="Times New Roman"/>
          </w:rPr>
          <w:t>https://doi.org/10.3850/978-981-11-2724-3_0877-cd</w:t>
        </w:r>
      </w:hyperlink>
    </w:p>
    <w:p w14:paraId="195D82BD" w14:textId="77777777" w:rsidR="0051521B" w:rsidRPr="00A10090" w:rsidRDefault="0051521B" w:rsidP="00A10090">
      <w:pPr>
        <w:spacing w:line="480" w:lineRule="auto"/>
        <w:ind w:left="720" w:hanging="720"/>
        <w:rPr>
          <w:rFonts w:ascii="Times New Roman" w:hAnsi="Times New Roman" w:cs="Times New Roman"/>
        </w:rPr>
      </w:pPr>
      <w:r w:rsidRPr="00A10090">
        <w:rPr>
          <w:rFonts w:ascii="Times New Roman" w:hAnsi="Times New Roman" w:cs="Times New Roman"/>
        </w:rPr>
        <w:t xml:space="preserve">Renaud, K., &amp; Weir, C. S. (2016). Cybersecurity education: The state of the art and future directions. </w:t>
      </w:r>
      <w:r w:rsidRPr="00A10090">
        <w:rPr>
          <w:rFonts w:ascii="Times New Roman" w:hAnsi="Times New Roman" w:cs="Times New Roman"/>
          <w:i/>
          <w:iCs/>
        </w:rPr>
        <w:t>Computers &amp; Security</w:t>
      </w:r>
      <w:r w:rsidRPr="00A10090">
        <w:rPr>
          <w:rFonts w:ascii="Times New Roman" w:hAnsi="Times New Roman" w:cs="Times New Roman"/>
        </w:rPr>
        <w:t xml:space="preserve">, 58, 1–19. </w:t>
      </w:r>
      <w:hyperlink r:id="rId11" w:tgtFrame="_blank" w:history="1">
        <w:r w:rsidRPr="00A10090">
          <w:rPr>
            <w:rStyle w:val="Hyperlink"/>
            <w:rFonts w:ascii="Times New Roman" w:hAnsi="Times New Roman" w:cs="Times New Roman"/>
          </w:rPr>
          <w:t>https://doi.org/10.1016/j.cose.2015.11.006</w:t>
        </w:r>
      </w:hyperlink>
    </w:p>
    <w:p w14:paraId="336D4C0D" w14:textId="77777777" w:rsidR="0051521B" w:rsidRPr="00A10090" w:rsidRDefault="0051521B" w:rsidP="00A10090">
      <w:pPr>
        <w:spacing w:line="480" w:lineRule="auto"/>
        <w:ind w:left="720" w:hanging="720"/>
        <w:rPr>
          <w:rFonts w:ascii="Times New Roman" w:hAnsi="Times New Roman" w:cs="Times New Roman"/>
        </w:rPr>
      </w:pPr>
      <w:r w:rsidRPr="00A10090">
        <w:rPr>
          <w:rFonts w:ascii="Times New Roman" w:hAnsi="Times New Roman" w:cs="Times New Roman"/>
        </w:rPr>
        <w:t xml:space="preserve">Schein, E. H. (2010). </w:t>
      </w:r>
      <w:r w:rsidRPr="00A10090">
        <w:rPr>
          <w:rFonts w:ascii="Times New Roman" w:hAnsi="Times New Roman" w:cs="Times New Roman"/>
          <w:i/>
          <w:iCs/>
        </w:rPr>
        <w:t>Organizational culture and leadership</w:t>
      </w:r>
      <w:r w:rsidRPr="00A10090">
        <w:rPr>
          <w:rFonts w:ascii="Times New Roman" w:hAnsi="Times New Roman" w:cs="Times New Roman"/>
        </w:rPr>
        <w:t xml:space="preserve"> (4th ed.). Jossey-Bass.</w:t>
      </w:r>
    </w:p>
    <w:p w14:paraId="030B5BD4" w14:textId="77777777" w:rsidR="0051521B" w:rsidRPr="00A10090" w:rsidRDefault="0051521B" w:rsidP="00A10090">
      <w:pPr>
        <w:spacing w:line="480" w:lineRule="auto"/>
        <w:ind w:left="720" w:hanging="720"/>
        <w:rPr>
          <w:rFonts w:ascii="Times New Roman" w:hAnsi="Times New Roman" w:cs="Times New Roman"/>
        </w:rPr>
      </w:pPr>
      <w:r w:rsidRPr="00A10090">
        <w:rPr>
          <w:rFonts w:ascii="Times New Roman" w:hAnsi="Times New Roman" w:cs="Times New Roman"/>
        </w:rPr>
        <w:lastRenderedPageBreak/>
        <w:t xml:space="preserve">Wash, R., &amp; Cooper, M. M. (2020). Who provides software training? How teachers' background shapes user security practices. </w:t>
      </w:r>
      <w:r w:rsidRPr="00A10090">
        <w:rPr>
          <w:rFonts w:ascii="Times New Roman" w:hAnsi="Times New Roman" w:cs="Times New Roman"/>
          <w:i/>
          <w:iCs/>
        </w:rPr>
        <w:t>Proceedings of the ACM on Human-Computer Interaction</w:t>
      </w:r>
      <w:r w:rsidRPr="00A10090">
        <w:rPr>
          <w:rFonts w:ascii="Times New Roman" w:hAnsi="Times New Roman" w:cs="Times New Roman"/>
        </w:rPr>
        <w:t xml:space="preserve">, 4(CSCW2), Article 148. </w:t>
      </w:r>
      <w:hyperlink r:id="rId12" w:tgtFrame="_blank" w:history="1">
        <w:r w:rsidRPr="00A10090">
          <w:rPr>
            <w:rStyle w:val="Hyperlink"/>
            <w:rFonts w:ascii="Times New Roman" w:hAnsi="Times New Roman" w:cs="Times New Roman"/>
          </w:rPr>
          <w:t>https://doi.org/10.1145/3415219</w:t>
        </w:r>
      </w:hyperlink>
    </w:p>
    <w:p w14:paraId="54CCCAD4" w14:textId="77777777" w:rsidR="0051521B" w:rsidRPr="00A10090" w:rsidRDefault="0051521B" w:rsidP="00A10090">
      <w:pPr>
        <w:spacing w:line="480" w:lineRule="auto"/>
        <w:ind w:left="720" w:hanging="720"/>
        <w:rPr>
          <w:rFonts w:ascii="Times New Roman" w:hAnsi="Times New Roman" w:cs="Times New Roman"/>
        </w:rPr>
      </w:pPr>
    </w:p>
    <w:sectPr w:rsidR="0051521B" w:rsidRPr="00A100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27791"/>
    <w:multiLevelType w:val="multilevel"/>
    <w:tmpl w:val="AB763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DD30B1"/>
    <w:multiLevelType w:val="multilevel"/>
    <w:tmpl w:val="6B9A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4F2861"/>
    <w:multiLevelType w:val="multilevel"/>
    <w:tmpl w:val="B01E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463E10"/>
    <w:multiLevelType w:val="multilevel"/>
    <w:tmpl w:val="5900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8758705">
    <w:abstractNumId w:val="1"/>
  </w:num>
  <w:num w:numId="2" w16cid:durableId="1553271075">
    <w:abstractNumId w:val="2"/>
  </w:num>
  <w:num w:numId="3" w16cid:durableId="1688826595">
    <w:abstractNumId w:val="3"/>
  </w:num>
  <w:num w:numId="4" w16cid:durableId="1149008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21B"/>
    <w:rsid w:val="00185BA7"/>
    <w:rsid w:val="003133A9"/>
    <w:rsid w:val="003160F3"/>
    <w:rsid w:val="00380535"/>
    <w:rsid w:val="003B32B1"/>
    <w:rsid w:val="004D10A1"/>
    <w:rsid w:val="0051521B"/>
    <w:rsid w:val="005D583A"/>
    <w:rsid w:val="00876AFF"/>
    <w:rsid w:val="008A061D"/>
    <w:rsid w:val="00906073"/>
    <w:rsid w:val="009245B1"/>
    <w:rsid w:val="00966E11"/>
    <w:rsid w:val="00991CC6"/>
    <w:rsid w:val="00A10090"/>
    <w:rsid w:val="00AF3958"/>
    <w:rsid w:val="00B15FAB"/>
    <w:rsid w:val="00B30249"/>
    <w:rsid w:val="00C40963"/>
    <w:rsid w:val="00ED7C06"/>
    <w:rsid w:val="00EE5200"/>
    <w:rsid w:val="00F30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6B687"/>
  <w15:chartTrackingRefBased/>
  <w15:docId w15:val="{A6A968AA-20E7-4AA9-B24A-207A6A4B5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52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2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2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2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2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2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2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2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2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2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2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2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2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2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2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2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2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21B"/>
    <w:rPr>
      <w:rFonts w:eastAsiaTheme="majorEastAsia" w:cstheme="majorBidi"/>
      <w:color w:val="272727" w:themeColor="text1" w:themeTint="D8"/>
    </w:rPr>
  </w:style>
  <w:style w:type="paragraph" w:styleId="Title">
    <w:name w:val="Title"/>
    <w:basedOn w:val="Normal"/>
    <w:next w:val="Normal"/>
    <w:link w:val="TitleChar"/>
    <w:uiPriority w:val="10"/>
    <w:qFormat/>
    <w:rsid w:val="005152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2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2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2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21B"/>
    <w:pPr>
      <w:spacing w:before="160"/>
      <w:jc w:val="center"/>
    </w:pPr>
    <w:rPr>
      <w:i/>
      <w:iCs/>
      <w:color w:val="404040" w:themeColor="text1" w:themeTint="BF"/>
    </w:rPr>
  </w:style>
  <w:style w:type="character" w:customStyle="1" w:styleId="QuoteChar">
    <w:name w:val="Quote Char"/>
    <w:basedOn w:val="DefaultParagraphFont"/>
    <w:link w:val="Quote"/>
    <w:uiPriority w:val="29"/>
    <w:rsid w:val="0051521B"/>
    <w:rPr>
      <w:i/>
      <w:iCs/>
      <w:color w:val="404040" w:themeColor="text1" w:themeTint="BF"/>
    </w:rPr>
  </w:style>
  <w:style w:type="paragraph" w:styleId="ListParagraph">
    <w:name w:val="List Paragraph"/>
    <w:basedOn w:val="Normal"/>
    <w:uiPriority w:val="34"/>
    <w:qFormat/>
    <w:rsid w:val="0051521B"/>
    <w:pPr>
      <w:ind w:left="720"/>
      <w:contextualSpacing/>
    </w:pPr>
  </w:style>
  <w:style w:type="character" w:styleId="IntenseEmphasis">
    <w:name w:val="Intense Emphasis"/>
    <w:basedOn w:val="DefaultParagraphFont"/>
    <w:uiPriority w:val="21"/>
    <w:qFormat/>
    <w:rsid w:val="0051521B"/>
    <w:rPr>
      <w:i/>
      <w:iCs/>
      <w:color w:val="0F4761" w:themeColor="accent1" w:themeShade="BF"/>
    </w:rPr>
  </w:style>
  <w:style w:type="paragraph" w:styleId="IntenseQuote">
    <w:name w:val="Intense Quote"/>
    <w:basedOn w:val="Normal"/>
    <w:next w:val="Normal"/>
    <w:link w:val="IntenseQuoteChar"/>
    <w:uiPriority w:val="30"/>
    <w:qFormat/>
    <w:rsid w:val="005152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21B"/>
    <w:rPr>
      <w:i/>
      <w:iCs/>
      <w:color w:val="0F4761" w:themeColor="accent1" w:themeShade="BF"/>
    </w:rPr>
  </w:style>
  <w:style w:type="character" w:styleId="IntenseReference">
    <w:name w:val="Intense Reference"/>
    <w:basedOn w:val="DefaultParagraphFont"/>
    <w:uiPriority w:val="32"/>
    <w:qFormat/>
    <w:rsid w:val="0051521B"/>
    <w:rPr>
      <w:b/>
      <w:bCs/>
      <w:smallCaps/>
      <w:color w:val="0F4761" w:themeColor="accent1" w:themeShade="BF"/>
      <w:spacing w:val="5"/>
    </w:rPr>
  </w:style>
  <w:style w:type="character" w:styleId="Hyperlink">
    <w:name w:val="Hyperlink"/>
    <w:basedOn w:val="DefaultParagraphFont"/>
    <w:uiPriority w:val="99"/>
    <w:unhideWhenUsed/>
    <w:rsid w:val="0051521B"/>
    <w:rPr>
      <w:color w:val="467886" w:themeColor="hyperlink"/>
      <w:u w:val="single"/>
    </w:rPr>
  </w:style>
  <w:style w:type="character" w:styleId="UnresolvedMention">
    <w:name w:val="Unresolved Mention"/>
    <w:basedOn w:val="DefaultParagraphFont"/>
    <w:uiPriority w:val="99"/>
    <w:semiHidden/>
    <w:unhideWhenUsed/>
    <w:rsid w:val="0051521B"/>
    <w:rPr>
      <w:color w:val="605E5C"/>
      <w:shd w:val="clear" w:color="auto" w:fill="E1DFDD"/>
    </w:rPr>
  </w:style>
  <w:style w:type="character" w:styleId="BookTitle">
    <w:name w:val="Book Title"/>
    <w:basedOn w:val="DefaultParagraphFont"/>
    <w:uiPriority w:val="33"/>
    <w:qFormat/>
    <w:rsid w:val="00A10090"/>
    <w:rPr>
      <w:b/>
      <w:bCs/>
      <w:i/>
      <w:iCs/>
      <w:spacing w:val="5"/>
    </w:rPr>
  </w:style>
  <w:style w:type="paragraph" w:styleId="Caption">
    <w:name w:val="caption"/>
    <w:basedOn w:val="Normal"/>
    <w:next w:val="Normal"/>
    <w:uiPriority w:val="35"/>
    <w:semiHidden/>
    <w:unhideWhenUsed/>
    <w:qFormat/>
    <w:rsid w:val="00A10090"/>
    <w:pPr>
      <w:spacing w:after="200" w:line="240" w:lineRule="auto"/>
    </w:pPr>
    <w:rPr>
      <w:i/>
      <w:iCs/>
      <w:color w:val="0E2841" w:themeColor="text2"/>
      <w:sz w:val="18"/>
      <w:szCs w:val="18"/>
    </w:rPr>
  </w:style>
  <w:style w:type="character" w:styleId="Emphasis">
    <w:name w:val="Emphasis"/>
    <w:basedOn w:val="DefaultParagraphFont"/>
    <w:uiPriority w:val="20"/>
    <w:qFormat/>
    <w:rsid w:val="00A10090"/>
    <w:rPr>
      <w:i/>
      <w:iCs/>
    </w:rPr>
  </w:style>
  <w:style w:type="paragraph" w:styleId="NoSpacing">
    <w:name w:val="No Spacing"/>
    <w:uiPriority w:val="1"/>
    <w:qFormat/>
    <w:rsid w:val="00A10090"/>
    <w:pPr>
      <w:spacing w:after="0" w:line="240" w:lineRule="auto"/>
    </w:pPr>
  </w:style>
  <w:style w:type="character" w:styleId="Strong">
    <w:name w:val="Strong"/>
    <w:basedOn w:val="DefaultParagraphFont"/>
    <w:uiPriority w:val="22"/>
    <w:qFormat/>
    <w:rsid w:val="00A10090"/>
    <w:rPr>
      <w:b/>
      <w:bCs/>
    </w:rPr>
  </w:style>
  <w:style w:type="character" w:styleId="SubtleEmphasis">
    <w:name w:val="Subtle Emphasis"/>
    <w:basedOn w:val="DefaultParagraphFont"/>
    <w:uiPriority w:val="19"/>
    <w:qFormat/>
    <w:rsid w:val="00A10090"/>
    <w:rPr>
      <w:i/>
      <w:iCs/>
      <w:color w:val="404040" w:themeColor="text1" w:themeTint="BF"/>
    </w:rPr>
  </w:style>
  <w:style w:type="character" w:styleId="SubtleReference">
    <w:name w:val="Subtle Reference"/>
    <w:basedOn w:val="DefaultParagraphFont"/>
    <w:uiPriority w:val="31"/>
    <w:qFormat/>
    <w:rsid w:val="00A10090"/>
    <w:rPr>
      <w:smallCaps/>
      <w:color w:val="5A5A5A" w:themeColor="text1" w:themeTint="A5"/>
    </w:rPr>
  </w:style>
  <w:style w:type="paragraph" w:styleId="TOCHeading">
    <w:name w:val="TOC Heading"/>
    <w:basedOn w:val="Heading1"/>
    <w:next w:val="Normal"/>
    <w:uiPriority w:val="39"/>
    <w:semiHidden/>
    <w:unhideWhenUsed/>
    <w:qFormat/>
    <w:rsid w:val="00A1009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s://doi.org/10.6028/NIST.SP.800-5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search?q=https://doi.org/10.48550/arXiv.1901.02672" TargetMode="External"/><Relationship Id="rId12" Type="http://schemas.openxmlformats.org/officeDocument/2006/relationships/hyperlink" Target="https://www.google.com/search?q=https://doi.org/10.1145/34152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search?q=https://doi.org/10.48550/arXiv.1903.02388" TargetMode="External"/><Relationship Id="rId11" Type="http://schemas.openxmlformats.org/officeDocument/2006/relationships/hyperlink" Target="https://www.google.com/search?q=https://doi.org/10.1016/j.cose.2015.11.006" TargetMode="External"/><Relationship Id="rId5" Type="http://schemas.openxmlformats.org/officeDocument/2006/relationships/webSettings" Target="webSettings.xml"/><Relationship Id="rId10" Type="http://schemas.openxmlformats.org/officeDocument/2006/relationships/hyperlink" Target="https://www.google.com/search?q=https://doi.org/10.3850/978-981-11-2724-3_0877-cd" TargetMode="External"/><Relationship Id="rId4" Type="http://schemas.openxmlformats.org/officeDocument/2006/relationships/settings" Target="settings.xml"/><Relationship Id="rId9" Type="http://schemas.openxmlformats.org/officeDocument/2006/relationships/hyperlink" Target="https://www.google.com/search?q=https://doi.org/10.6028/NIST.SP.800-55r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3F8C7-8580-4160-97F2-09CA724DB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1760</Words>
  <Characters>10033</Characters>
  <Application>Microsoft Office Word</Application>
  <DocSecurity>0</DocSecurity>
  <Lines>83</Lines>
  <Paragraphs>23</Paragraphs>
  <ScaleCrop>false</ScaleCrop>
  <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Marjean Mayo-Baker</dc:creator>
  <cp:keywords/>
  <dc:description/>
  <cp:lastModifiedBy>Marjean Mayo-Baker</cp:lastModifiedBy>
  <cp:revision>8</cp:revision>
  <dcterms:created xsi:type="dcterms:W3CDTF">2026-08-31T23:23:00Z</dcterms:created>
  <dcterms:modified xsi:type="dcterms:W3CDTF">2026-08-31T23:52:00Z</dcterms:modified>
</cp:coreProperties>
</file>